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custom-properties" Target="docProps/custom.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ABD5" w14:textId="77777777" w:rsidR="00CF2896" w:rsidRDefault="00CF2896" w:rsidP="00CF2896">
      <w:pPr>
        <w:jc w:val="right"/>
        <w:rPr>
          <w:rFonts w:ascii="Verdana" w:hAnsi="Verdana"/>
          <w:color w:val="00B0F0"/>
          <w:sz w:val="28"/>
          <w:szCs w:val="28"/>
        </w:rPr>
      </w:pPr>
      <w:r>
        <w:rPr>
          <w:noProof/>
        </w:rPr>
        <w:drawing>
          <wp:inline distT="0" distB="0" distL="0" distR="0" wp14:anchorId="60E10E37" wp14:editId="4A04168D">
            <wp:extent cx="1988820" cy="377448"/>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718" cy="382173"/>
                    </a:xfrm>
                    <a:prstGeom prst="rect">
                      <a:avLst/>
                    </a:prstGeom>
                    <a:noFill/>
                    <a:ln>
                      <a:noFill/>
                    </a:ln>
                  </pic:spPr>
                </pic:pic>
              </a:graphicData>
            </a:graphic>
          </wp:inline>
        </w:drawing>
      </w:r>
    </w:p>
    <w:p w14:paraId="1C938926" w14:textId="77777777" w:rsidR="004D64F1" w:rsidRDefault="004D64F1" w:rsidP="00B57EAA">
      <w:pPr>
        <w:rPr>
          <w:rFonts w:ascii="Verdana" w:hAnsi="Verdana"/>
          <w:b/>
          <w:bCs/>
          <w:color w:val="00B0F0"/>
          <w:sz w:val="28"/>
          <w:szCs w:val="28"/>
        </w:rPr>
      </w:pPr>
    </w:p>
    <w:p w14:paraId="216EA06E" w14:textId="3049DC41" w:rsidR="00B57EAA" w:rsidRPr="00CF2896" w:rsidRDefault="00B57EAA" w:rsidP="009B7D4C">
      <w:pPr>
        <w:spacing w:after="0" w:line="276" w:lineRule="auto"/>
        <w:jc w:val="both"/>
        <w:rPr>
          <w:rFonts w:ascii="Verdana" w:hAnsi="Verdana"/>
          <w:b/>
          <w:bCs/>
          <w:color w:val="00B0F0"/>
          <w:sz w:val="28"/>
          <w:szCs w:val="28"/>
        </w:rPr>
      </w:pPr>
      <w:r w:rsidRPr="00CF2896">
        <w:rPr>
          <w:rFonts w:ascii="Verdana" w:hAnsi="Verdana"/>
          <w:b/>
          <w:bCs/>
          <w:color w:val="00B0F0"/>
          <w:sz w:val="28"/>
          <w:szCs w:val="28"/>
        </w:rPr>
        <w:t xml:space="preserve">Verklaring </w:t>
      </w:r>
      <w:r w:rsidRPr="004D64F1">
        <w:rPr>
          <w:rFonts w:ascii="Verdana" w:hAnsi="Verdana"/>
          <w:b/>
          <w:bCs/>
          <w:color w:val="00B0F0"/>
          <w:sz w:val="32"/>
          <w:szCs w:val="32"/>
        </w:rPr>
        <w:t>inzake</w:t>
      </w:r>
      <w:r w:rsidRPr="00CF2896">
        <w:rPr>
          <w:rFonts w:ascii="Verdana" w:hAnsi="Verdana"/>
          <w:b/>
          <w:bCs/>
          <w:color w:val="00B0F0"/>
          <w:sz w:val="28"/>
          <w:szCs w:val="28"/>
        </w:rPr>
        <w:t xml:space="preserve"> duurzaamheidsrisico’s en ongunstige effecten </w:t>
      </w:r>
    </w:p>
    <w:p w14:paraId="755503B7" w14:textId="255C763F" w:rsidR="00762A79" w:rsidRDefault="00762A79" w:rsidP="009B7D4C">
      <w:pPr>
        <w:spacing w:after="0" w:line="276" w:lineRule="auto"/>
        <w:jc w:val="both"/>
        <w:rPr>
          <w:rFonts w:ascii="Times New Roman" w:eastAsia="Times New Roman" w:hAnsi="Times New Roman" w:cs="Times New Roman"/>
          <w:color w:val="00B0F0"/>
          <w:sz w:val="28"/>
          <w:szCs w:val="28"/>
        </w:rPr>
      </w:pPr>
    </w:p>
    <w:p w14:paraId="53DEB096" w14:textId="7AD360CE" w:rsidR="008A311B" w:rsidRPr="007F14E0" w:rsidRDefault="008A311B" w:rsidP="009B7D4C">
      <w:pPr>
        <w:pStyle w:val="ListParagraph"/>
        <w:numPr>
          <w:ilvl w:val="0"/>
          <w:numId w:val="17"/>
        </w:numPr>
        <w:spacing w:after="0" w:line="276" w:lineRule="auto"/>
        <w:jc w:val="both"/>
        <w:rPr>
          <w:rFonts w:ascii="Times New Roman" w:eastAsia="Times New Roman" w:hAnsi="Times New Roman" w:cs="Times New Roman"/>
          <w:vanish/>
          <w:color w:val="00B0F0"/>
          <w:sz w:val="24"/>
          <w:szCs w:val="24"/>
        </w:rPr>
      </w:pPr>
    </w:p>
    <w:p w14:paraId="0208BB1D" w14:textId="77777777" w:rsidR="00020D94" w:rsidRPr="00F30140" w:rsidRDefault="00020D94" w:rsidP="009B7D4C">
      <w:pPr>
        <w:spacing w:after="0" w:line="276" w:lineRule="auto"/>
        <w:jc w:val="both"/>
        <w:rPr>
          <w:rFonts w:ascii="Times New Roman" w:eastAsia="Times New Roman" w:hAnsi="Times New Roman" w:cs="Times New Roman"/>
          <w:vanish/>
          <w:color w:val="00B0F0"/>
          <w:sz w:val="24"/>
          <w:szCs w:val="24"/>
        </w:rPr>
      </w:pPr>
    </w:p>
    <w:p w14:paraId="2ECB7156" w14:textId="77777777" w:rsidR="00020D94" w:rsidRPr="00F30140" w:rsidRDefault="00020D94" w:rsidP="009B7D4C">
      <w:pPr>
        <w:spacing w:after="0" w:line="276" w:lineRule="auto"/>
        <w:jc w:val="both"/>
        <w:rPr>
          <w:rFonts w:ascii="Times New Roman" w:eastAsia="Times New Roman" w:hAnsi="Times New Roman" w:cs="Times New Roman"/>
          <w:vanish/>
          <w:color w:val="00B0F0"/>
          <w:sz w:val="24"/>
          <w:szCs w:val="24"/>
        </w:rPr>
      </w:pPr>
    </w:p>
    <w:p w14:paraId="787F15DD" w14:textId="6EFE4174" w:rsidR="00FF2D2F" w:rsidRPr="007F14E0" w:rsidRDefault="00FF2D2F" w:rsidP="009B7D4C">
      <w:pPr>
        <w:pStyle w:val="ListParagraph"/>
        <w:numPr>
          <w:ilvl w:val="0"/>
          <w:numId w:val="18"/>
        </w:numPr>
        <w:spacing w:after="0" w:line="276" w:lineRule="auto"/>
        <w:jc w:val="both"/>
        <w:rPr>
          <w:rFonts w:ascii="Verdana" w:hAnsi="Verdana"/>
          <w:color w:val="00B0F0"/>
          <w:sz w:val="24"/>
          <w:szCs w:val="24"/>
        </w:rPr>
      </w:pPr>
      <w:r w:rsidRPr="007F14E0">
        <w:rPr>
          <w:rFonts w:ascii="Verdana" w:hAnsi="Verdana"/>
          <w:color w:val="00B0F0"/>
          <w:sz w:val="24"/>
          <w:szCs w:val="24"/>
        </w:rPr>
        <w:t>Inleiding</w:t>
      </w:r>
    </w:p>
    <w:p w14:paraId="31F52BF4" w14:textId="77777777" w:rsidR="000450A7" w:rsidRDefault="00B161F1" w:rsidP="000450A7">
      <w:pPr>
        <w:tabs>
          <w:tab w:val="center" w:pos="4513"/>
          <w:tab w:val="right" w:pos="9026"/>
        </w:tabs>
        <w:spacing w:after="0"/>
        <w:ind w:left="720" w:hanging="720"/>
        <w:rPr>
          <w:rFonts w:ascii="Verdana" w:hAnsi="Verdana"/>
          <w:sz w:val="20"/>
          <w:szCs w:val="20"/>
        </w:rPr>
      </w:pPr>
      <w:r w:rsidRPr="001F57F1">
        <w:rPr>
          <w:rFonts w:ascii="Verdana" w:hAnsi="Verdana"/>
          <w:sz w:val="20"/>
          <w:szCs w:val="20"/>
        </w:rPr>
        <w:t>Pensioenfonds Provisum (LEI</w:t>
      </w:r>
      <w:r w:rsidR="000450A7">
        <w:rPr>
          <w:rFonts w:ascii="Verdana" w:hAnsi="Verdana"/>
          <w:sz w:val="20"/>
          <w:szCs w:val="20"/>
        </w:rPr>
        <w:t xml:space="preserve"> </w:t>
      </w:r>
      <w:r w:rsidR="000450A7" w:rsidRPr="000450A7">
        <w:rPr>
          <w:rFonts w:ascii="Verdana" w:hAnsi="Verdana"/>
          <w:sz w:val="20"/>
          <w:szCs w:val="20"/>
        </w:rPr>
        <w:t>724500K3LLF0262T8394)</w:t>
      </w:r>
      <w:r w:rsidRPr="001F57F1">
        <w:rPr>
          <w:rFonts w:ascii="Verdana" w:hAnsi="Verdana"/>
          <w:sz w:val="20"/>
          <w:szCs w:val="20"/>
        </w:rPr>
        <w:t xml:space="preserve"> wordt aangemerkt als financiële</w:t>
      </w:r>
      <w:r w:rsidR="000450A7">
        <w:rPr>
          <w:rFonts w:ascii="Verdana" w:hAnsi="Verdana"/>
          <w:sz w:val="20"/>
          <w:szCs w:val="20"/>
        </w:rPr>
        <w:t xml:space="preserve"> </w:t>
      </w:r>
    </w:p>
    <w:p w14:paraId="723127B0" w14:textId="25A3ECDC" w:rsidR="00DC0FF9" w:rsidRPr="000450A7" w:rsidRDefault="00B161F1" w:rsidP="000450A7">
      <w:pPr>
        <w:tabs>
          <w:tab w:val="center" w:pos="4513"/>
          <w:tab w:val="right" w:pos="9026"/>
        </w:tabs>
        <w:spacing w:after="0"/>
        <w:rPr>
          <w:rFonts w:ascii="Verdana" w:hAnsi="Verdana"/>
          <w:sz w:val="20"/>
          <w:szCs w:val="20"/>
        </w:rPr>
      </w:pPr>
      <w:r w:rsidRPr="001F57F1">
        <w:rPr>
          <w:rFonts w:ascii="Verdana" w:hAnsi="Verdana"/>
          <w:sz w:val="20"/>
          <w:szCs w:val="20"/>
        </w:rPr>
        <w:t xml:space="preserve">marktdeelnemer in het kader van de EU </w:t>
      </w:r>
      <w:proofErr w:type="spellStart"/>
      <w:r w:rsidRPr="001F57F1">
        <w:rPr>
          <w:rFonts w:ascii="Verdana" w:hAnsi="Verdana"/>
          <w:sz w:val="20"/>
          <w:szCs w:val="20"/>
        </w:rPr>
        <w:t>Sustainable</w:t>
      </w:r>
      <w:proofErr w:type="spellEnd"/>
      <w:r w:rsidRPr="001F57F1">
        <w:rPr>
          <w:rFonts w:ascii="Verdana" w:hAnsi="Verdana"/>
          <w:sz w:val="20"/>
          <w:szCs w:val="20"/>
        </w:rPr>
        <w:t xml:space="preserve"> Finance </w:t>
      </w:r>
      <w:proofErr w:type="spellStart"/>
      <w:r w:rsidRPr="001F57F1">
        <w:rPr>
          <w:rFonts w:ascii="Verdana" w:hAnsi="Verdana"/>
          <w:sz w:val="20"/>
          <w:szCs w:val="20"/>
        </w:rPr>
        <w:t>Disclosure</w:t>
      </w:r>
      <w:proofErr w:type="spellEnd"/>
      <w:r w:rsidRPr="001F57F1">
        <w:rPr>
          <w:rFonts w:ascii="Verdana" w:hAnsi="Verdana"/>
          <w:sz w:val="20"/>
          <w:szCs w:val="20"/>
        </w:rPr>
        <w:t xml:space="preserve"> </w:t>
      </w:r>
      <w:proofErr w:type="spellStart"/>
      <w:r w:rsidRPr="001F57F1">
        <w:rPr>
          <w:rFonts w:ascii="Verdana" w:hAnsi="Verdana"/>
          <w:sz w:val="20"/>
          <w:szCs w:val="20"/>
        </w:rPr>
        <w:t>Regulation</w:t>
      </w:r>
      <w:proofErr w:type="spellEnd"/>
      <w:r w:rsidRPr="001F57F1">
        <w:rPr>
          <w:rFonts w:ascii="Verdana" w:hAnsi="Verdana"/>
          <w:sz w:val="20"/>
          <w:szCs w:val="20"/>
        </w:rPr>
        <w:t xml:space="preserve"> SFDR). Financiële marktdeelnemers hebben de verplichting om </w:t>
      </w:r>
      <w:r w:rsidR="007650F4">
        <w:rPr>
          <w:rFonts w:ascii="Verdana" w:hAnsi="Verdana"/>
          <w:sz w:val="20"/>
          <w:szCs w:val="20"/>
        </w:rPr>
        <w:t xml:space="preserve">de volgende </w:t>
      </w:r>
      <w:r w:rsidR="00843189">
        <w:rPr>
          <w:rFonts w:ascii="Verdana" w:hAnsi="Verdana"/>
          <w:sz w:val="20"/>
          <w:szCs w:val="20"/>
        </w:rPr>
        <w:t>informatie</w:t>
      </w:r>
      <w:r w:rsidR="007650F4">
        <w:rPr>
          <w:rFonts w:ascii="Verdana" w:hAnsi="Verdana"/>
          <w:sz w:val="20"/>
          <w:szCs w:val="20"/>
        </w:rPr>
        <w:t xml:space="preserve"> op de website te plaatsen,</w:t>
      </w:r>
    </w:p>
    <w:p w14:paraId="32620C07" w14:textId="2F464B69" w:rsidR="00DD4D1C" w:rsidRPr="00B667BD" w:rsidRDefault="00B667BD" w:rsidP="009B7D4C">
      <w:pPr>
        <w:pStyle w:val="ListParagraph"/>
        <w:numPr>
          <w:ilvl w:val="0"/>
          <w:numId w:val="8"/>
        </w:numPr>
        <w:spacing w:after="0" w:line="276" w:lineRule="auto"/>
        <w:jc w:val="both"/>
        <w:rPr>
          <w:rFonts w:ascii="Verdana" w:hAnsi="Verdana"/>
          <w:sz w:val="20"/>
          <w:szCs w:val="20"/>
        </w:rPr>
      </w:pPr>
      <w:r>
        <w:rPr>
          <w:rFonts w:ascii="Verdana" w:hAnsi="Verdana"/>
          <w:sz w:val="20"/>
          <w:szCs w:val="20"/>
        </w:rPr>
        <w:t>e</w:t>
      </w:r>
      <w:r w:rsidR="00DD4D1C" w:rsidRPr="00B667BD">
        <w:rPr>
          <w:rFonts w:ascii="Verdana" w:hAnsi="Verdana"/>
          <w:sz w:val="20"/>
          <w:szCs w:val="20"/>
        </w:rPr>
        <w:t xml:space="preserve">en verklaring </w:t>
      </w:r>
      <w:r w:rsidR="00DD4D1C" w:rsidRPr="00B667BD">
        <w:rPr>
          <w:rFonts w:ascii="Verdana" w:hAnsi="Verdana"/>
          <w:color w:val="333333"/>
          <w:sz w:val="20"/>
          <w:szCs w:val="20"/>
        </w:rPr>
        <w:t>inzake de integratie van duurzaamheidsrisico’s in het beleggingsbeleid</w:t>
      </w:r>
      <w:r>
        <w:rPr>
          <w:rFonts w:ascii="Verdana" w:hAnsi="Verdana"/>
          <w:color w:val="333333"/>
          <w:sz w:val="20"/>
          <w:szCs w:val="20"/>
        </w:rPr>
        <w:t>;</w:t>
      </w:r>
    </w:p>
    <w:p w14:paraId="76407305" w14:textId="62FE25DE" w:rsidR="00C30BF7" w:rsidRDefault="00B161F1" w:rsidP="009B7D4C">
      <w:pPr>
        <w:pStyle w:val="ListParagraph"/>
        <w:numPr>
          <w:ilvl w:val="0"/>
          <w:numId w:val="8"/>
        </w:numPr>
        <w:spacing w:after="0" w:line="276" w:lineRule="auto"/>
        <w:jc w:val="both"/>
        <w:rPr>
          <w:rFonts w:ascii="Verdana" w:hAnsi="Verdana"/>
          <w:sz w:val="20"/>
          <w:szCs w:val="20"/>
        </w:rPr>
      </w:pPr>
      <w:r w:rsidRPr="00DC0FF9">
        <w:rPr>
          <w:rFonts w:ascii="Verdana" w:hAnsi="Verdana"/>
          <w:sz w:val="20"/>
          <w:szCs w:val="20"/>
        </w:rPr>
        <w:t xml:space="preserve">een verklaring waaruit is op te maken of de financiële marktdeelnemer negatieve duurzaamheidsimpact meeweegt bij beleggingsbeslissingen, en – als dat het geval is – hoe het </w:t>
      </w:r>
      <w:proofErr w:type="spellStart"/>
      <w:r w:rsidRPr="00DC0FF9">
        <w:rPr>
          <w:rFonts w:ascii="Verdana" w:hAnsi="Verdana"/>
          <w:sz w:val="20"/>
          <w:szCs w:val="20"/>
        </w:rPr>
        <w:t>due</w:t>
      </w:r>
      <w:proofErr w:type="spellEnd"/>
      <w:r w:rsidRPr="00DC0FF9">
        <w:rPr>
          <w:rFonts w:ascii="Verdana" w:hAnsi="Verdana"/>
          <w:sz w:val="20"/>
          <w:szCs w:val="20"/>
        </w:rPr>
        <w:t xml:space="preserve"> diligence-beleid daarop is afgestemd</w:t>
      </w:r>
      <w:r w:rsidR="00A5262C">
        <w:rPr>
          <w:rFonts w:ascii="Verdana" w:hAnsi="Verdana"/>
          <w:sz w:val="20"/>
          <w:szCs w:val="20"/>
        </w:rPr>
        <w:t>.</w:t>
      </w:r>
      <w:r w:rsidRPr="00DC0FF9">
        <w:rPr>
          <w:rFonts w:ascii="Verdana" w:hAnsi="Verdana"/>
          <w:sz w:val="20"/>
          <w:szCs w:val="20"/>
        </w:rPr>
        <w:t xml:space="preserve"> </w:t>
      </w:r>
    </w:p>
    <w:p w14:paraId="4D9DABB1" w14:textId="77777777" w:rsidR="009B7D4C" w:rsidRDefault="009B7D4C" w:rsidP="009B7D4C">
      <w:pPr>
        <w:spacing w:after="0" w:line="276" w:lineRule="auto"/>
        <w:jc w:val="both"/>
        <w:rPr>
          <w:rFonts w:ascii="Verdana" w:hAnsi="Verdana"/>
          <w:sz w:val="20"/>
          <w:szCs w:val="20"/>
        </w:rPr>
      </w:pPr>
    </w:p>
    <w:p w14:paraId="36FC8ABA" w14:textId="69145F6C" w:rsidR="00B161F1" w:rsidRDefault="00B64637" w:rsidP="009B7D4C">
      <w:pPr>
        <w:spacing w:after="0" w:line="276" w:lineRule="auto"/>
        <w:jc w:val="both"/>
        <w:rPr>
          <w:rFonts w:ascii="Verdana" w:hAnsi="Verdana"/>
          <w:sz w:val="20"/>
          <w:szCs w:val="20"/>
        </w:rPr>
      </w:pPr>
      <w:r>
        <w:rPr>
          <w:rFonts w:ascii="Verdana" w:hAnsi="Verdana"/>
          <w:sz w:val="20"/>
          <w:szCs w:val="20"/>
        </w:rPr>
        <w:t>Aa</w:t>
      </w:r>
      <w:r w:rsidR="009A6B7C">
        <w:rPr>
          <w:rFonts w:ascii="Verdana" w:hAnsi="Verdana"/>
          <w:sz w:val="20"/>
          <w:szCs w:val="20"/>
        </w:rPr>
        <w:t>n</w:t>
      </w:r>
      <w:r>
        <w:rPr>
          <w:rFonts w:ascii="Verdana" w:hAnsi="Verdana"/>
          <w:sz w:val="20"/>
          <w:szCs w:val="20"/>
        </w:rPr>
        <w:t>gezien</w:t>
      </w:r>
      <w:r w:rsidR="009A6B7C">
        <w:rPr>
          <w:rFonts w:ascii="Verdana" w:hAnsi="Verdana"/>
          <w:sz w:val="20"/>
          <w:szCs w:val="20"/>
        </w:rPr>
        <w:t xml:space="preserve"> de thema’s van de verklaringen z</w:t>
      </w:r>
      <w:r w:rsidR="004819A9">
        <w:rPr>
          <w:rFonts w:ascii="Verdana" w:hAnsi="Verdana"/>
          <w:sz w:val="20"/>
          <w:szCs w:val="20"/>
        </w:rPr>
        <w:t xml:space="preserve">eer nauw met </w:t>
      </w:r>
      <w:r w:rsidR="00AC5BC2">
        <w:rPr>
          <w:rFonts w:ascii="Verdana" w:hAnsi="Verdana"/>
          <w:sz w:val="20"/>
          <w:szCs w:val="20"/>
        </w:rPr>
        <w:t>elkaar</w:t>
      </w:r>
      <w:r w:rsidR="004819A9">
        <w:rPr>
          <w:rFonts w:ascii="Verdana" w:hAnsi="Verdana"/>
          <w:sz w:val="20"/>
          <w:szCs w:val="20"/>
        </w:rPr>
        <w:t xml:space="preserve"> verbonden zijn, is er voor gekozen om beide verklaringen in een</w:t>
      </w:r>
      <w:r w:rsidR="00C853A7">
        <w:rPr>
          <w:rFonts w:ascii="Verdana" w:hAnsi="Verdana"/>
          <w:sz w:val="20"/>
          <w:szCs w:val="20"/>
        </w:rPr>
        <w:t xml:space="preserve"> verklaring</w:t>
      </w:r>
      <w:r w:rsidR="004819A9">
        <w:rPr>
          <w:rFonts w:ascii="Verdana" w:hAnsi="Verdana"/>
          <w:sz w:val="20"/>
          <w:szCs w:val="20"/>
        </w:rPr>
        <w:t xml:space="preserve"> te bundelen.</w:t>
      </w:r>
      <w:r w:rsidR="00B161F1" w:rsidRPr="0013079B">
        <w:rPr>
          <w:rFonts w:ascii="Verdana" w:hAnsi="Verdana"/>
          <w:sz w:val="20"/>
          <w:szCs w:val="20"/>
        </w:rPr>
        <w:t xml:space="preserve"> </w:t>
      </w:r>
    </w:p>
    <w:p w14:paraId="3F8E400A" w14:textId="77777777" w:rsidR="0096025E" w:rsidRDefault="0096025E" w:rsidP="009B7D4C">
      <w:pPr>
        <w:tabs>
          <w:tab w:val="left" w:pos="5812"/>
        </w:tabs>
        <w:spacing w:after="0" w:line="276" w:lineRule="auto"/>
        <w:jc w:val="both"/>
        <w:rPr>
          <w:rFonts w:ascii="Verdana" w:hAnsi="Verdana"/>
          <w:sz w:val="20"/>
          <w:szCs w:val="20"/>
        </w:rPr>
      </w:pPr>
    </w:p>
    <w:p w14:paraId="7354C33D" w14:textId="11CB4E79" w:rsidR="009F5C85" w:rsidRDefault="00B01EAB" w:rsidP="009B7D4C">
      <w:pPr>
        <w:tabs>
          <w:tab w:val="left" w:pos="5812"/>
        </w:tabs>
        <w:spacing w:after="0" w:line="276" w:lineRule="auto"/>
        <w:jc w:val="both"/>
        <w:rPr>
          <w:rFonts w:ascii="Verdana" w:hAnsi="Verdana"/>
          <w:sz w:val="20"/>
          <w:szCs w:val="20"/>
        </w:rPr>
      </w:pPr>
      <w:r w:rsidRPr="00CA60F4">
        <w:rPr>
          <w:rFonts w:ascii="Verdana" w:hAnsi="Verdana"/>
          <w:sz w:val="20"/>
          <w:szCs w:val="20"/>
        </w:rPr>
        <w:t>Pensioenfonds Provisum (Provisum, het fonds) heeft de taak om een goed beleggingsresultaat te behalen in het belang van de deelnemers. Aan het beleggen zijn duurzaamheidsrisico’s verbonden</w:t>
      </w:r>
      <w:r w:rsidRPr="008A311B">
        <w:rPr>
          <w:rFonts w:ascii="Verdana" w:hAnsi="Verdana"/>
          <w:sz w:val="20"/>
          <w:szCs w:val="20"/>
        </w:rPr>
        <w:t xml:space="preserve">. Het </w:t>
      </w:r>
      <w:r w:rsidR="008A311B" w:rsidRPr="008A311B">
        <w:rPr>
          <w:rFonts w:ascii="Verdana" w:hAnsi="Verdana"/>
          <w:sz w:val="20"/>
          <w:szCs w:val="20"/>
        </w:rPr>
        <w:t>in aanmerking nemen</w:t>
      </w:r>
      <w:r w:rsidRPr="008A311B">
        <w:rPr>
          <w:rFonts w:ascii="Verdana" w:hAnsi="Verdana"/>
          <w:sz w:val="20"/>
          <w:szCs w:val="20"/>
        </w:rPr>
        <w:t xml:space="preserve"> van deze risico’s in het beleggingsproces kan positieve gevolgen hebben voor de lange termijn risicorendementsverhouding van de belegg</w:t>
      </w:r>
      <w:r w:rsidR="00843189" w:rsidRPr="008A311B">
        <w:rPr>
          <w:rFonts w:ascii="Verdana" w:hAnsi="Verdana"/>
          <w:sz w:val="20"/>
          <w:szCs w:val="20"/>
        </w:rPr>
        <w:t>ing</w:t>
      </w:r>
      <w:r w:rsidRPr="008A311B">
        <w:rPr>
          <w:rFonts w:ascii="Verdana" w:hAnsi="Verdana"/>
          <w:sz w:val="20"/>
          <w:szCs w:val="20"/>
        </w:rPr>
        <w:t>en van het fonds.</w:t>
      </w:r>
      <w:r w:rsidRPr="00CA60F4">
        <w:rPr>
          <w:rFonts w:ascii="Verdana" w:hAnsi="Verdana"/>
          <w:sz w:val="20"/>
          <w:szCs w:val="20"/>
        </w:rPr>
        <w:t xml:space="preserve"> </w:t>
      </w:r>
      <w:r w:rsidR="00CF2566">
        <w:rPr>
          <w:rFonts w:ascii="Verdana" w:hAnsi="Verdana"/>
          <w:sz w:val="20"/>
          <w:szCs w:val="20"/>
        </w:rPr>
        <w:t>Om deze reden</w:t>
      </w:r>
      <w:r w:rsidRPr="00CA60F4">
        <w:rPr>
          <w:rFonts w:ascii="Verdana" w:hAnsi="Verdana"/>
          <w:sz w:val="20"/>
          <w:szCs w:val="20"/>
        </w:rPr>
        <w:t xml:space="preserve"> (naast bijv. de maatschappelijke verantwoordelijkheid van het fonds) houdt </w:t>
      </w:r>
      <w:r w:rsidR="005649B6">
        <w:rPr>
          <w:rFonts w:ascii="Verdana" w:hAnsi="Verdana"/>
          <w:sz w:val="20"/>
          <w:szCs w:val="20"/>
        </w:rPr>
        <w:t>Provisum</w:t>
      </w:r>
      <w:r w:rsidRPr="00CA60F4">
        <w:rPr>
          <w:rFonts w:ascii="Verdana" w:hAnsi="Verdana"/>
          <w:sz w:val="20"/>
          <w:szCs w:val="20"/>
        </w:rPr>
        <w:t xml:space="preserve"> rekening met milieu, sociale aspecten en goed ondernemingsbestuur (corporate </w:t>
      </w:r>
      <w:proofErr w:type="spellStart"/>
      <w:r w:rsidRPr="00CA60F4">
        <w:rPr>
          <w:rFonts w:ascii="Verdana" w:hAnsi="Verdana"/>
          <w:sz w:val="20"/>
          <w:szCs w:val="20"/>
        </w:rPr>
        <w:t>governance</w:t>
      </w:r>
      <w:proofErr w:type="spellEnd"/>
      <w:r w:rsidRPr="00CA60F4">
        <w:rPr>
          <w:rFonts w:ascii="Verdana" w:hAnsi="Verdana"/>
          <w:sz w:val="20"/>
          <w:szCs w:val="20"/>
        </w:rPr>
        <w:t xml:space="preserve">). </w:t>
      </w:r>
      <w:r w:rsidR="001B64DD">
        <w:rPr>
          <w:rFonts w:ascii="Verdana" w:hAnsi="Verdana"/>
          <w:sz w:val="20"/>
          <w:szCs w:val="20"/>
        </w:rPr>
        <w:t>Deze elementen heeft</w:t>
      </w:r>
      <w:r w:rsidR="009F5C85">
        <w:rPr>
          <w:rFonts w:ascii="Verdana" w:hAnsi="Verdana"/>
          <w:sz w:val="20"/>
          <w:szCs w:val="20"/>
        </w:rPr>
        <w:t xml:space="preserve"> Provisum verwerkt in haar beleggingsbeleid.</w:t>
      </w:r>
    </w:p>
    <w:p w14:paraId="3E6CD242" w14:textId="77777777" w:rsidR="0096025E" w:rsidRDefault="0096025E" w:rsidP="009B7D4C">
      <w:pPr>
        <w:spacing w:after="0" w:line="276" w:lineRule="auto"/>
        <w:jc w:val="both"/>
        <w:rPr>
          <w:rFonts w:ascii="Verdana" w:hAnsi="Verdana"/>
          <w:sz w:val="20"/>
          <w:szCs w:val="20"/>
        </w:rPr>
      </w:pPr>
    </w:p>
    <w:p w14:paraId="3E737879" w14:textId="4F3BA66F" w:rsidR="002D4912" w:rsidRDefault="0092146D" w:rsidP="009B7D4C">
      <w:pPr>
        <w:spacing w:after="0" w:line="276" w:lineRule="auto"/>
        <w:jc w:val="both"/>
        <w:rPr>
          <w:rFonts w:ascii="Verdana" w:hAnsi="Verdana"/>
          <w:sz w:val="20"/>
          <w:szCs w:val="20"/>
        </w:rPr>
      </w:pPr>
      <w:r>
        <w:rPr>
          <w:rFonts w:ascii="Verdana" w:hAnsi="Verdana"/>
          <w:sz w:val="20"/>
          <w:szCs w:val="20"/>
        </w:rPr>
        <w:t>Onlosmakelijk hiermee verb</w:t>
      </w:r>
      <w:r w:rsidR="005649B6">
        <w:rPr>
          <w:rFonts w:ascii="Verdana" w:hAnsi="Verdana"/>
          <w:sz w:val="20"/>
          <w:szCs w:val="20"/>
        </w:rPr>
        <w:t>o</w:t>
      </w:r>
      <w:r>
        <w:rPr>
          <w:rFonts w:ascii="Verdana" w:hAnsi="Verdana"/>
          <w:sz w:val="20"/>
          <w:szCs w:val="20"/>
        </w:rPr>
        <w:t>nden is dat</w:t>
      </w:r>
      <w:r w:rsidR="00B01EAB" w:rsidRPr="00CA60F4">
        <w:rPr>
          <w:rFonts w:ascii="Verdana" w:hAnsi="Verdana"/>
          <w:sz w:val="20"/>
          <w:szCs w:val="20"/>
        </w:rPr>
        <w:t xml:space="preserve"> </w:t>
      </w:r>
      <w:r w:rsidR="00B161F1" w:rsidRPr="001F57F1">
        <w:rPr>
          <w:rFonts w:ascii="Verdana" w:hAnsi="Verdana"/>
          <w:sz w:val="20"/>
          <w:szCs w:val="20"/>
        </w:rPr>
        <w:t>Provisu</w:t>
      </w:r>
      <w:r w:rsidR="00EA627C">
        <w:rPr>
          <w:rFonts w:ascii="Verdana" w:hAnsi="Verdana"/>
          <w:sz w:val="20"/>
          <w:szCs w:val="20"/>
        </w:rPr>
        <w:t>m</w:t>
      </w:r>
      <w:r w:rsidR="00B161F1" w:rsidRPr="001F57F1">
        <w:rPr>
          <w:rFonts w:ascii="Verdana" w:hAnsi="Verdana"/>
          <w:sz w:val="20"/>
          <w:szCs w:val="20"/>
        </w:rPr>
        <w:t xml:space="preserve"> de belangrijkste ongunstige effecten in de zin van de SFDR-verordening</w:t>
      </w:r>
      <w:r w:rsidR="00EA627C">
        <w:rPr>
          <w:rFonts w:ascii="Verdana" w:hAnsi="Verdana"/>
          <w:sz w:val="20"/>
          <w:szCs w:val="20"/>
        </w:rPr>
        <w:t xml:space="preserve"> in aanmerking neemt</w:t>
      </w:r>
      <w:r w:rsidR="00B161F1" w:rsidRPr="001F57F1">
        <w:rPr>
          <w:rFonts w:ascii="Verdana" w:hAnsi="Verdana"/>
          <w:sz w:val="20"/>
          <w:szCs w:val="20"/>
        </w:rPr>
        <w:t>. Met andere woorden</w:t>
      </w:r>
      <w:r w:rsidR="00C262E0" w:rsidRPr="001F57F1">
        <w:rPr>
          <w:rFonts w:ascii="Verdana" w:hAnsi="Verdana"/>
          <w:sz w:val="20"/>
          <w:szCs w:val="20"/>
        </w:rPr>
        <w:t xml:space="preserve">, </w:t>
      </w:r>
      <w:r w:rsidR="00B161F1" w:rsidRPr="001F57F1">
        <w:rPr>
          <w:rFonts w:ascii="Verdana" w:hAnsi="Verdana"/>
          <w:sz w:val="20"/>
          <w:szCs w:val="20"/>
        </w:rPr>
        <w:t xml:space="preserve">voordat er beleggingsbeslissingen worden genomen, wordt actief gekeken naar de negatieve effecten op de  </w:t>
      </w:r>
      <w:r w:rsidR="00365135">
        <w:rPr>
          <w:rFonts w:ascii="Verdana" w:hAnsi="Verdana"/>
          <w:sz w:val="20"/>
          <w:szCs w:val="20"/>
        </w:rPr>
        <w:t>duurzaamheids</w:t>
      </w:r>
      <w:r w:rsidR="00B161F1" w:rsidRPr="001F57F1">
        <w:rPr>
          <w:rFonts w:ascii="Verdana" w:hAnsi="Verdana"/>
          <w:sz w:val="20"/>
          <w:szCs w:val="20"/>
        </w:rPr>
        <w:t>factoren</w:t>
      </w:r>
      <w:r w:rsidR="00365135">
        <w:rPr>
          <w:rFonts w:ascii="Verdana" w:hAnsi="Verdana"/>
          <w:sz w:val="20"/>
          <w:szCs w:val="20"/>
        </w:rPr>
        <w:t xml:space="preserve"> die centraal staan in de SFDR</w:t>
      </w:r>
      <w:r w:rsidR="00B161F1" w:rsidRPr="001F57F1">
        <w:rPr>
          <w:rFonts w:ascii="Verdana" w:hAnsi="Verdana"/>
          <w:sz w:val="20"/>
          <w:szCs w:val="20"/>
        </w:rPr>
        <w:t>:</w:t>
      </w:r>
      <w:r w:rsidR="002D4912" w:rsidRPr="002D4912">
        <w:rPr>
          <w:rFonts w:ascii="Verdana" w:hAnsi="Verdana"/>
          <w:sz w:val="20"/>
          <w:szCs w:val="20"/>
        </w:rPr>
        <w:t xml:space="preserve"> </w:t>
      </w:r>
      <w:r w:rsidR="002D4912" w:rsidRPr="0013079B">
        <w:rPr>
          <w:rFonts w:ascii="Verdana" w:hAnsi="Verdana"/>
          <w:sz w:val="20"/>
          <w:szCs w:val="20"/>
        </w:rPr>
        <w:t>ecologische, sociale en werkgelegenheidszaken, eerbiediging van de mensenrechten, en bestrijding van corruptie en omkoping.</w:t>
      </w:r>
    </w:p>
    <w:p w14:paraId="578AF60A" w14:textId="77777777" w:rsidR="0096025E" w:rsidRDefault="0096025E" w:rsidP="009B7D4C">
      <w:pPr>
        <w:spacing w:after="0" w:line="276" w:lineRule="auto"/>
        <w:jc w:val="both"/>
        <w:rPr>
          <w:rFonts w:ascii="Verdana" w:hAnsi="Verdana"/>
          <w:sz w:val="20"/>
          <w:szCs w:val="20"/>
        </w:rPr>
      </w:pPr>
    </w:p>
    <w:p w14:paraId="7E2C8DB6" w14:textId="6FCAF0F6" w:rsidR="00826152" w:rsidRPr="001F57F1" w:rsidRDefault="00B161F1" w:rsidP="009B7D4C">
      <w:pPr>
        <w:spacing w:after="0" w:line="276" w:lineRule="auto"/>
        <w:jc w:val="both"/>
        <w:rPr>
          <w:rFonts w:ascii="Verdana" w:hAnsi="Verdana"/>
          <w:sz w:val="20"/>
          <w:szCs w:val="20"/>
        </w:rPr>
      </w:pPr>
      <w:r w:rsidRPr="001F57F1">
        <w:rPr>
          <w:rFonts w:ascii="Verdana" w:hAnsi="Verdana"/>
          <w:sz w:val="20"/>
          <w:szCs w:val="20"/>
        </w:rPr>
        <w:t xml:space="preserve">Bij het lezen van deze verklaring dient rekening </w:t>
      </w:r>
      <w:r w:rsidR="00762A79">
        <w:rPr>
          <w:rFonts w:ascii="Verdana" w:hAnsi="Verdana"/>
          <w:sz w:val="20"/>
          <w:szCs w:val="20"/>
        </w:rPr>
        <w:t xml:space="preserve">te </w:t>
      </w:r>
      <w:r w:rsidRPr="001F57F1">
        <w:rPr>
          <w:rFonts w:ascii="Verdana" w:hAnsi="Verdana"/>
          <w:sz w:val="20"/>
          <w:szCs w:val="20"/>
        </w:rPr>
        <w:t xml:space="preserve">worden gehouden met de aard en omvang van de activiteiten van Provisum en het type financiële product van </w:t>
      </w:r>
      <w:r w:rsidR="00587294" w:rsidRPr="001F57F1">
        <w:rPr>
          <w:rFonts w:ascii="Verdana" w:hAnsi="Verdana"/>
          <w:sz w:val="20"/>
          <w:szCs w:val="20"/>
        </w:rPr>
        <w:t>het fonds</w:t>
      </w:r>
      <w:r w:rsidRPr="001F57F1">
        <w:rPr>
          <w:rFonts w:ascii="Verdana" w:hAnsi="Verdana"/>
          <w:sz w:val="20"/>
          <w:szCs w:val="20"/>
        </w:rPr>
        <w:t xml:space="preserve">. </w:t>
      </w:r>
      <w:r w:rsidRPr="008A311B">
        <w:rPr>
          <w:rFonts w:ascii="Verdana" w:hAnsi="Verdana"/>
          <w:sz w:val="20"/>
          <w:szCs w:val="20"/>
        </w:rPr>
        <w:t>Deze verklaring heeft betrekking op alle</w:t>
      </w:r>
      <w:r w:rsidR="00312492" w:rsidRPr="008A311B">
        <w:rPr>
          <w:rFonts w:ascii="Verdana" w:hAnsi="Verdana"/>
          <w:sz w:val="20"/>
          <w:szCs w:val="20"/>
        </w:rPr>
        <w:t xml:space="preserve"> beleggingen van </w:t>
      </w:r>
      <w:r w:rsidR="00762A79" w:rsidRPr="008A311B">
        <w:rPr>
          <w:rFonts w:ascii="Verdana" w:hAnsi="Verdana"/>
          <w:sz w:val="20"/>
          <w:szCs w:val="20"/>
        </w:rPr>
        <w:t>de pensioenregeling</w:t>
      </w:r>
      <w:r w:rsidR="008A311B">
        <w:rPr>
          <w:rFonts w:ascii="Verdana" w:hAnsi="Verdana"/>
          <w:sz w:val="20"/>
          <w:szCs w:val="20"/>
        </w:rPr>
        <w:t xml:space="preserve"> </w:t>
      </w:r>
      <w:r w:rsidRPr="008A311B">
        <w:rPr>
          <w:rFonts w:ascii="Verdana" w:hAnsi="Verdana"/>
          <w:sz w:val="20"/>
          <w:szCs w:val="20"/>
        </w:rPr>
        <w:t xml:space="preserve">van </w:t>
      </w:r>
      <w:r w:rsidR="00E36F84" w:rsidRPr="008A311B">
        <w:rPr>
          <w:rFonts w:ascii="Verdana" w:hAnsi="Verdana"/>
          <w:sz w:val="20"/>
          <w:szCs w:val="20"/>
        </w:rPr>
        <w:t>het fonds</w:t>
      </w:r>
      <w:r w:rsidR="00B57EAA">
        <w:rPr>
          <w:rFonts w:ascii="Verdana" w:hAnsi="Verdana"/>
          <w:sz w:val="20"/>
          <w:szCs w:val="20"/>
        </w:rPr>
        <w:t>.</w:t>
      </w:r>
    </w:p>
    <w:p w14:paraId="7299FCB5" w14:textId="77777777" w:rsidR="0096025E" w:rsidRDefault="0096025E" w:rsidP="009B7D4C">
      <w:pPr>
        <w:spacing w:after="0" w:line="276" w:lineRule="auto"/>
        <w:jc w:val="both"/>
        <w:rPr>
          <w:rFonts w:ascii="Verdana" w:hAnsi="Verdana"/>
          <w:sz w:val="20"/>
          <w:szCs w:val="20"/>
        </w:rPr>
      </w:pPr>
    </w:p>
    <w:p w14:paraId="7DE5533B" w14:textId="090DD466" w:rsidR="006C4B9A" w:rsidRDefault="00FC6F0C" w:rsidP="009B7D4C">
      <w:pPr>
        <w:spacing w:after="0" w:line="276" w:lineRule="auto"/>
        <w:jc w:val="both"/>
        <w:rPr>
          <w:rFonts w:ascii="Verdana" w:hAnsi="Verdana"/>
          <w:sz w:val="20"/>
          <w:szCs w:val="20"/>
        </w:rPr>
      </w:pPr>
      <w:r>
        <w:rPr>
          <w:rFonts w:ascii="Verdana" w:hAnsi="Verdana"/>
          <w:sz w:val="20"/>
          <w:szCs w:val="20"/>
        </w:rPr>
        <w:t>In het vervolg zal meerder</w:t>
      </w:r>
      <w:r w:rsidR="00CB3BAE">
        <w:rPr>
          <w:rFonts w:ascii="Verdana" w:hAnsi="Verdana"/>
          <w:sz w:val="20"/>
          <w:szCs w:val="20"/>
        </w:rPr>
        <w:t>e</w:t>
      </w:r>
      <w:r>
        <w:rPr>
          <w:rFonts w:ascii="Verdana" w:hAnsi="Verdana"/>
          <w:sz w:val="20"/>
          <w:szCs w:val="20"/>
        </w:rPr>
        <w:t xml:space="preserve"> keren verwe</w:t>
      </w:r>
      <w:r w:rsidR="00CB3BAE">
        <w:rPr>
          <w:rFonts w:ascii="Verdana" w:hAnsi="Verdana"/>
          <w:sz w:val="20"/>
          <w:szCs w:val="20"/>
        </w:rPr>
        <w:t>z</w:t>
      </w:r>
      <w:r>
        <w:rPr>
          <w:rFonts w:ascii="Verdana" w:hAnsi="Verdana"/>
          <w:sz w:val="20"/>
          <w:szCs w:val="20"/>
        </w:rPr>
        <w:t xml:space="preserve">en worden naar het Beleid Maatschappelijk Verantwoord </w:t>
      </w:r>
      <w:r w:rsidR="00CB3BAE">
        <w:rPr>
          <w:rFonts w:ascii="Verdana" w:hAnsi="Verdana"/>
          <w:sz w:val="20"/>
          <w:szCs w:val="20"/>
        </w:rPr>
        <w:t>Beleggen</w:t>
      </w:r>
      <w:r w:rsidR="005D31F5">
        <w:rPr>
          <w:rFonts w:ascii="Verdana" w:hAnsi="Verdana"/>
          <w:sz w:val="20"/>
          <w:szCs w:val="20"/>
        </w:rPr>
        <w:t>,</w:t>
      </w:r>
      <w:r w:rsidR="005D31F5" w:rsidRPr="005D31F5">
        <w:rPr>
          <w:rFonts w:ascii="Verdana" w:hAnsi="Verdana"/>
          <w:sz w:val="20"/>
          <w:szCs w:val="20"/>
        </w:rPr>
        <w:t xml:space="preserve"> </w:t>
      </w:r>
      <w:r w:rsidR="003F7DAF">
        <w:rPr>
          <w:rFonts w:ascii="Verdana" w:hAnsi="Verdana"/>
          <w:sz w:val="20"/>
          <w:szCs w:val="20"/>
        </w:rPr>
        <w:t>e</w:t>
      </w:r>
      <w:r w:rsidR="00FA203D">
        <w:rPr>
          <w:rFonts w:ascii="Verdana" w:hAnsi="Verdana"/>
          <w:sz w:val="20"/>
          <w:szCs w:val="20"/>
        </w:rPr>
        <w:t xml:space="preserve">n </w:t>
      </w:r>
      <w:r w:rsidR="00843189">
        <w:rPr>
          <w:rFonts w:ascii="Verdana" w:hAnsi="Verdana"/>
          <w:sz w:val="20"/>
          <w:szCs w:val="20"/>
        </w:rPr>
        <w:t xml:space="preserve">de Rapportage </w:t>
      </w:r>
      <w:r w:rsidR="00FA203D">
        <w:rPr>
          <w:rFonts w:ascii="Verdana" w:hAnsi="Verdana"/>
          <w:sz w:val="20"/>
          <w:szCs w:val="20"/>
        </w:rPr>
        <w:t>Maatschappelijk Beleggen van Provisum</w:t>
      </w:r>
      <w:r w:rsidR="00AF341F">
        <w:rPr>
          <w:rFonts w:ascii="Verdana" w:hAnsi="Verdana"/>
          <w:sz w:val="20"/>
          <w:szCs w:val="20"/>
        </w:rPr>
        <w:t>.</w:t>
      </w:r>
      <w:r w:rsidR="00E5654D">
        <w:rPr>
          <w:rFonts w:ascii="Verdana" w:hAnsi="Verdana"/>
          <w:sz w:val="20"/>
          <w:szCs w:val="20"/>
        </w:rPr>
        <w:t xml:space="preserve"> </w:t>
      </w:r>
      <w:r w:rsidR="00AF341F">
        <w:rPr>
          <w:rFonts w:ascii="Verdana" w:hAnsi="Verdana"/>
          <w:sz w:val="20"/>
          <w:szCs w:val="20"/>
        </w:rPr>
        <w:t>Deze documenten zijn</w:t>
      </w:r>
      <w:r w:rsidR="00E5654D">
        <w:rPr>
          <w:rFonts w:ascii="Verdana" w:hAnsi="Verdana"/>
          <w:sz w:val="20"/>
          <w:szCs w:val="20"/>
        </w:rPr>
        <w:t xml:space="preserve"> te vinden zijn op de website van het fonds</w:t>
      </w:r>
      <w:r w:rsidR="00066A2E">
        <w:rPr>
          <w:rFonts w:ascii="Verdana" w:hAnsi="Verdana"/>
          <w:sz w:val="20"/>
          <w:szCs w:val="20"/>
        </w:rPr>
        <w:t xml:space="preserve">. </w:t>
      </w:r>
      <w:r w:rsidR="009E1B44">
        <w:rPr>
          <w:rFonts w:ascii="Verdana" w:hAnsi="Verdana"/>
          <w:sz w:val="20"/>
          <w:szCs w:val="20"/>
        </w:rPr>
        <w:t xml:space="preserve">In het eerstgenoemde beleidsdocument wordt ook </w:t>
      </w:r>
      <w:r w:rsidR="00FF371F">
        <w:rPr>
          <w:rFonts w:ascii="Verdana" w:hAnsi="Verdana"/>
          <w:sz w:val="20"/>
          <w:szCs w:val="20"/>
        </w:rPr>
        <w:t xml:space="preserve">de </w:t>
      </w:r>
      <w:proofErr w:type="spellStart"/>
      <w:r w:rsidR="00FF371F">
        <w:rPr>
          <w:rFonts w:ascii="Verdana" w:hAnsi="Verdana"/>
          <w:sz w:val="20"/>
          <w:szCs w:val="20"/>
        </w:rPr>
        <w:t>governance</w:t>
      </w:r>
      <w:proofErr w:type="spellEnd"/>
      <w:r w:rsidR="00FF371F">
        <w:rPr>
          <w:rFonts w:ascii="Verdana" w:hAnsi="Verdana"/>
          <w:sz w:val="20"/>
          <w:szCs w:val="20"/>
        </w:rPr>
        <w:t xml:space="preserve"> </w:t>
      </w:r>
      <w:r w:rsidR="00FF3BAD">
        <w:rPr>
          <w:rFonts w:ascii="Verdana" w:hAnsi="Verdana"/>
          <w:sz w:val="20"/>
          <w:szCs w:val="20"/>
        </w:rPr>
        <w:t>inzake</w:t>
      </w:r>
      <w:r w:rsidR="00FF371F">
        <w:rPr>
          <w:rFonts w:ascii="Verdana" w:hAnsi="Verdana"/>
          <w:sz w:val="20"/>
          <w:szCs w:val="20"/>
        </w:rPr>
        <w:t xml:space="preserve"> </w:t>
      </w:r>
      <w:r w:rsidR="006C4B9A">
        <w:rPr>
          <w:rFonts w:ascii="Verdana" w:hAnsi="Verdana"/>
          <w:sz w:val="20"/>
          <w:szCs w:val="20"/>
        </w:rPr>
        <w:t xml:space="preserve">het </w:t>
      </w:r>
      <w:r w:rsidR="00FF371F">
        <w:rPr>
          <w:rFonts w:ascii="Verdana" w:hAnsi="Verdana"/>
          <w:sz w:val="20"/>
          <w:szCs w:val="20"/>
        </w:rPr>
        <w:t xml:space="preserve">maatschappelijk beleggen </w:t>
      </w:r>
      <w:r w:rsidR="00A64A43">
        <w:rPr>
          <w:rFonts w:ascii="Verdana" w:hAnsi="Verdana"/>
          <w:sz w:val="20"/>
          <w:szCs w:val="20"/>
        </w:rPr>
        <w:t xml:space="preserve">van het fonds </w:t>
      </w:r>
      <w:r w:rsidR="009E1B44">
        <w:rPr>
          <w:rFonts w:ascii="Verdana" w:hAnsi="Verdana"/>
          <w:sz w:val="20"/>
          <w:szCs w:val="20"/>
        </w:rPr>
        <w:t>beschreven</w:t>
      </w:r>
      <w:r w:rsidR="00E63F6F">
        <w:rPr>
          <w:rFonts w:ascii="Verdana" w:hAnsi="Verdana"/>
          <w:sz w:val="20"/>
          <w:szCs w:val="20"/>
        </w:rPr>
        <w:t>.</w:t>
      </w:r>
    </w:p>
    <w:p w14:paraId="6E398917" w14:textId="369741E9" w:rsidR="00EC6818" w:rsidRPr="007F14E0" w:rsidRDefault="007546BF" w:rsidP="009B7D4C">
      <w:pPr>
        <w:pStyle w:val="ListParagraph"/>
        <w:numPr>
          <w:ilvl w:val="0"/>
          <w:numId w:val="18"/>
        </w:numPr>
        <w:spacing w:after="0" w:line="276" w:lineRule="auto"/>
        <w:jc w:val="both"/>
        <w:rPr>
          <w:rFonts w:ascii="Verdana" w:hAnsi="Verdana"/>
          <w:color w:val="00B0F0"/>
          <w:sz w:val="24"/>
          <w:szCs w:val="24"/>
        </w:rPr>
      </w:pPr>
      <w:r w:rsidRPr="007F14E0">
        <w:rPr>
          <w:rFonts w:ascii="Verdana" w:hAnsi="Verdana"/>
          <w:color w:val="00B0F0"/>
          <w:sz w:val="24"/>
          <w:szCs w:val="24"/>
        </w:rPr>
        <w:lastRenderedPageBreak/>
        <w:t>Duurzaamheidsrisico’s</w:t>
      </w:r>
    </w:p>
    <w:p w14:paraId="25C771D9" w14:textId="188099AD" w:rsidR="0059646C" w:rsidRDefault="001974DA" w:rsidP="009B7D4C">
      <w:pPr>
        <w:spacing w:after="0" w:line="276" w:lineRule="auto"/>
        <w:jc w:val="both"/>
        <w:rPr>
          <w:rFonts w:ascii="Verdana" w:hAnsi="Verdana"/>
          <w:sz w:val="20"/>
          <w:szCs w:val="20"/>
        </w:rPr>
      </w:pPr>
      <w:r>
        <w:rPr>
          <w:rFonts w:ascii="Verdana" w:hAnsi="Verdana"/>
          <w:sz w:val="20"/>
          <w:szCs w:val="20"/>
        </w:rPr>
        <w:t>Het d</w:t>
      </w:r>
      <w:r w:rsidR="0059646C" w:rsidRPr="00CA60F4">
        <w:rPr>
          <w:rFonts w:ascii="Verdana" w:hAnsi="Verdana"/>
          <w:sz w:val="20"/>
          <w:szCs w:val="20"/>
        </w:rPr>
        <w:t xml:space="preserve">uurzaamheidsrisico is het risico dat de waarde van de beleggingen van Provisum daalt door gebeurtenissen of omstandigheden op milieu, sociaal of </w:t>
      </w:r>
      <w:proofErr w:type="spellStart"/>
      <w:r w:rsidR="0059646C" w:rsidRPr="00CA60F4">
        <w:rPr>
          <w:rFonts w:ascii="Verdana" w:hAnsi="Verdana"/>
          <w:sz w:val="20"/>
          <w:szCs w:val="20"/>
        </w:rPr>
        <w:t>governance</w:t>
      </w:r>
      <w:proofErr w:type="spellEnd"/>
      <w:r w:rsidR="0059646C" w:rsidRPr="00CA60F4">
        <w:rPr>
          <w:rFonts w:ascii="Verdana" w:hAnsi="Verdana"/>
          <w:sz w:val="20"/>
          <w:szCs w:val="20"/>
        </w:rPr>
        <w:t xml:space="preserve">-gebied (ESG). De negatieve gevolgen kunnen er toe leiden dat pensioenen niet kunnen worden verhoogd of zelfs moeten worden verlaagd. </w:t>
      </w:r>
    </w:p>
    <w:p w14:paraId="1894474F" w14:textId="77777777" w:rsidR="0096025E" w:rsidRPr="00CA60F4" w:rsidRDefault="0096025E" w:rsidP="009B7D4C">
      <w:pPr>
        <w:spacing w:after="0" w:line="276" w:lineRule="auto"/>
        <w:jc w:val="both"/>
        <w:rPr>
          <w:rFonts w:ascii="Verdana" w:hAnsi="Verdana"/>
          <w:sz w:val="20"/>
          <w:szCs w:val="20"/>
        </w:rPr>
      </w:pPr>
    </w:p>
    <w:p w14:paraId="304D3131" w14:textId="4856D71E" w:rsidR="00EC6818" w:rsidRDefault="00EC6818" w:rsidP="009B7D4C">
      <w:pPr>
        <w:spacing w:after="0" w:line="276" w:lineRule="auto"/>
        <w:jc w:val="both"/>
        <w:rPr>
          <w:rFonts w:ascii="Verdana" w:hAnsi="Verdana"/>
          <w:sz w:val="20"/>
          <w:szCs w:val="20"/>
        </w:rPr>
      </w:pPr>
      <w:r w:rsidRPr="00CA60F4">
        <w:rPr>
          <w:rFonts w:ascii="Verdana" w:hAnsi="Verdana"/>
          <w:sz w:val="20"/>
          <w:szCs w:val="20"/>
        </w:rPr>
        <w:t xml:space="preserve">De duurzaamheidsrisico’s waar het fonds op stuurt en monitort zijn </w:t>
      </w:r>
      <w:r w:rsidR="00492995">
        <w:rPr>
          <w:rFonts w:ascii="Verdana" w:hAnsi="Verdana"/>
          <w:sz w:val="20"/>
          <w:szCs w:val="20"/>
        </w:rPr>
        <w:t>per</w:t>
      </w:r>
      <w:r w:rsidR="00DD4F1E">
        <w:rPr>
          <w:rFonts w:ascii="Verdana" w:hAnsi="Verdana"/>
          <w:sz w:val="20"/>
          <w:szCs w:val="20"/>
        </w:rPr>
        <w:t xml:space="preserve"> </w:t>
      </w:r>
      <w:r w:rsidR="00492995">
        <w:rPr>
          <w:rFonts w:ascii="Verdana" w:hAnsi="Verdana"/>
          <w:sz w:val="20"/>
          <w:szCs w:val="20"/>
        </w:rPr>
        <w:t>beleggingscategorie</w:t>
      </w:r>
      <w:r>
        <w:rPr>
          <w:rFonts w:ascii="Verdana" w:hAnsi="Verdana"/>
          <w:sz w:val="20"/>
          <w:szCs w:val="20"/>
        </w:rPr>
        <w:t xml:space="preserve"> </w:t>
      </w:r>
      <w:r w:rsidR="00492995">
        <w:rPr>
          <w:rFonts w:ascii="Verdana" w:hAnsi="Verdana"/>
          <w:sz w:val="20"/>
          <w:szCs w:val="20"/>
        </w:rPr>
        <w:t>de volgende,</w:t>
      </w:r>
    </w:p>
    <w:p w14:paraId="25722505" w14:textId="77777777" w:rsidR="0096025E" w:rsidRDefault="0096025E" w:rsidP="009B7D4C">
      <w:pPr>
        <w:spacing w:after="0" w:line="276" w:lineRule="auto"/>
        <w:jc w:val="both"/>
        <w:rPr>
          <w:rFonts w:ascii="Verdana" w:hAnsi="Verdana"/>
          <w:sz w:val="20"/>
          <w:szCs w:val="20"/>
          <w:u w:val="single"/>
        </w:rPr>
      </w:pPr>
    </w:p>
    <w:p w14:paraId="65CF562F" w14:textId="09AF4EE4" w:rsidR="00EC6818" w:rsidRPr="0096025E" w:rsidRDefault="00EC6818" w:rsidP="009B7D4C">
      <w:pPr>
        <w:spacing w:after="0" w:line="276" w:lineRule="auto"/>
        <w:jc w:val="both"/>
        <w:rPr>
          <w:rFonts w:ascii="Verdana" w:hAnsi="Verdana"/>
          <w:b/>
          <w:bCs/>
          <w:sz w:val="20"/>
          <w:szCs w:val="20"/>
        </w:rPr>
      </w:pPr>
      <w:r w:rsidRPr="0096025E">
        <w:rPr>
          <w:rFonts w:ascii="Verdana" w:hAnsi="Verdana"/>
          <w:b/>
          <w:bCs/>
          <w:sz w:val="20"/>
          <w:szCs w:val="20"/>
        </w:rPr>
        <w:t>Aandelen</w:t>
      </w:r>
    </w:p>
    <w:p w14:paraId="3698D9D5" w14:textId="77777777" w:rsidR="0087107F" w:rsidRDefault="00EC6818" w:rsidP="009B7D4C">
      <w:pPr>
        <w:spacing w:after="0" w:line="276" w:lineRule="auto"/>
        <w:jc w:val="both"/>
        <w:rPr>
          <w:rFonts w:ascii="Verdana" w:hAnsi="Verdana"/>
          <w:sz w:val="20"/>
          <w:szCs w:val="20"/>
        </w:rPr>
      </w:pPr>
      <w:r w:rsidRPr="0096025E">
        <w:rPr>
          <w:rFonts w:ascii="Verdana" w:hAnsi="Verdana"/>
          <w:i/>
          <w:iCs/>
          <w:sz w:val="20"/>
          <w:szCs w:val="20"/>
        </w:rPr>
        <w:t>Risico’s verbonden met het milieu</w:t>
      </w:r>
      <w:r w:rsidRPr="0096025E">
        <w:rPr>
          <w:rFonts w:ascii="Verdana" w:hAnsi="Verdana"/>
          <w:sz w:val="20"/>
          <w:szCs w:val="20"/>
        </w:rPr>
        <w:t>;</w:t>
      </w:r>
      <w:r w:rsidRPr="00CA60F4">
        <w:rPr>
          <w:rFonts w:ascii="Verdana" w:hAnsi="Verdana"/>
          <w:sz w:val="20"/>
          <w:szCs w:val="20"/>
        </w:rPr>
        <w:t xml:space="preserve"> het rendement van de belegging kan (negatief) beïnvloed worden wanneer de onderneming waarin belegd is, betrokken is bij een gebeurtenis met een (negatieve) impact op het milieu, waaronder klimaat, gebruik van hulpbronnen, afval en vervuiling. Er zijn met betrekking tot klimaat twee belangrijke risico’s: het financiële transitierisico en het fysieke risico. Het financiële transitierisico komt voort uit (veranderingen in) de klimaataanpak van bedrijve</w:t>
      </w:r>
      <w:r w:rsidR="00BB524F">
        <w:rPr>
          <w:rFonts w:ascii="Verdana" w:hAnsi="Verdana"/>
          <w:sz w:val="20"/>
          <w:szCs w:val="20"/>
        </w:rPr>
        <w:t>n</w:t>
      </w:r>
      <w:r w:rsidRPr="00CA60F4">
        <w:rPr>
          <w:rFonts w:ascii="Verdana" w:hAnsi="Verdana"/>
          <w:sz w:val="20"/>
          <w:szCs w:val="20"/>
        </w:rPr>
        <w:t>. De fysieke risico’s betreffen bijvoorbeeld overstromingen en extreme weersomstandigheden en de impact die dat heeft op de beleggingen.</w:t>
      </w:r>
      <w:bookmarkStart w:id="0" w:name="_Hlk115871088"/>
      <w:r w:rsidR="00C52A70">
        <w:rPr>
          <w:rFonts w:ascii="Verdana" w:hAnsi="Verdana"/>
          <w:sz w:val="20"/>
          <w:szCs w:val="20"/>
        </w:rPr>
        <w:t xml:space="preserve">                                                                                                           </w:t>
      </w:r>
    </w:p>
    <w:p w14:paraId="18DA56CC" w14:textId="77777777" w:rsidR="0087107F" w:rsidRDefault="0087107F" w:rsidP="009B7D4C">
      <w:pPr>
        <w:spacing w:after="0" w:line="276" w:lineRule="auto"/>
        <w:jc w:val="both"/>
        <w:rPr>
          <w:rFonts w:ascii="Verdana" w:hAnsi="Verdana"/>
          <w:i/>
          <w:iCs/>
          <w:sz w:val="20"/>
          <w:szCs w:val="20"/>
          <w:u w:val="single"/>
        </w:rPr>
      </w:pPr>
    </w:p>
    <w:p w14:paraId="43EB2FD7" w14:textId="77777777" w:rsidR="0087107F" w:rsidRDefault="00EC6818" w:rsidP="009B7D4C">
      <w:pPr>
        <w:spacing w:after="0" w:line="276" w:lineRule="auto"/>
        <w:jc w:val="both"/>
        <w:rPr>
          <w:rFonts w:ascii="Verdana" w:hAnsi="Verdana"/>
          <w:sz w:val="20"/>
          <w:szCs w:val="20"/>
        </w:rPr>
      </w:pPr>
      <w:r w:rsidRPr="0087107F">
        <w:rPr>
          <w:rFonts w:ascii="Verdana" w:hAnsi="Verdana"/>
          <w:i/>
          <w:iCs/>
          <w:sz w:val="20"/>
          <w:szCs w:val="20"/>
        </w:rPr>
        <w:t>Sociale risico’s</w:t>
      </w:r>
      <w:bookmarkEnd w:id="0"/>
      <w:r w:rsidRPr="00CA60F4">
        <w:rPr>
          <w:rFonts w:ascii="Verdana" w:hAnsi="Verdana"/>
          <w:sz w:val="20"/>
          <w:szCs w:val="20"/>
        </w:rPr>
        <w:t>; het rendement van de belegging kan (negatief) beïnvloed worden wanneer de organisatie waarin belegd wordt betrokken is bij een gebeurtenis met een (negatieve) impact op gezondheid, veiligheid, mensenrechten, arbeidsnormen, illegale praktijken of andere sociale aspecten.</w:t>
      </w:r>
      <w:bookmarkStart w:id="1" w:name="_Hlk115871112"/>
      <w:r w:rsidR="00C52A70">
        <w:rPr>
          <w:rFonts w:ascii="Verdana" w:hAnsi="Verdana"/>
          <w:sz w:val="20"/>
          <w:szCs w:val="20"/>
        </w:rPr>
        <w:t xml:space="preserve">                                                                                </w:t>
      </w:r>
    </w:p>
    <w:p w14:paraId="2EA849A9" w14:textId="77777777" w:rsidR="0087107F" w:rsidRDefault="0087107F" w:rsidP="009B7D4C">
      <w:pPr>
        <w:spacing w:after="0" w:line="276" w:lineRule="auto"/>
        <w:jc w:val="both"/>
        <w:rPr>
          <w:rFonts w:ascii="Verdana" w:hAnsi="Verdana"/>
          <w:sz w:val="20"/>
          <w:szCs w:val="20"/>
        </w:rPr>
      </w:pPr>
    </w:p>
    <w:p w14:paraId="5F24E015" w14:textId="091EA400" w:rsidR="00EC6818" w:rsidRDefault="00EC6818" w:rsidP="009B7D4C">
      <w:pPr>
        <w:spacing w:after="0" w:line="276" w:lineRule="auto"/>
        <w:jc w:val="both"/>
        <w:rPr>
          <w:rFonts w:ascii="Verdana" w:hAnsi="Verdana"/>
          <w:sz w:val="20"/>
          <w:szCs w:val="20"/>
        </w:rPr>
      </w:pPr>
      <w:proofErr w:type="spellStart"/>
      <w:r w:rsidRPr="0087107F">
        <w:rPr>
          <w:rFonts w:ascii="Verdana" w:hAnsi="Verdana"/>
          <w:i/>
          <w:iCs/>
          <w:sz w:val="20"/>
          <w:szCs w:val="20"/>
        </w:rPr>
        <w:t>Governance</w:t>
      </w:r>
      <w:proofErr w:type="spellEnd"/>
      <w:r w:rsidRPr="0087107F">
        <w:rPr>
          <w:rFonts w:ascii="Verdana" w:hAnsi="Verdana"/>
          <w:i/>
          <w:iCs/>
          <w:sz w:val="20"/>
          <w:szCs w:val="20"/>
        </w:rPr>
        <w:t xml:space="preserve"> risico’s</w:t>
      </w:r>
      <w:r w:rsidRPr="00CA60F4">
        <w:rPr>
          <w:rFonts w:ascii="Verdana" w:hAnsi="Verdana"/>
          <w:sz w:val="20"/>
          <w:szCs w:val="20"/>
        </w:rPr>
        <w:t xml:space="preserve">; </w:t>
      </w:r>
      <w:bookmarkEnd w:id="1"/>
      <w:r w:rsidRPr="00CA60F4">
        <w:rPr>
          <w:rFonts w:ascii="Verdana" w:hAnsi="Verdana"/>
          <w:sz w:val="20"/>
          <w:szCs w:val="20"/>
        </w:rPr>
        <w:t>de bedrijfsvoering (</w:t>
      </w:r>
      <w:proofErr w:type="spellStart"/>
      <w:r w:rsidRPr="00CA60F4">
        <w:rPr>
          <w:rFonts w:ascii="Verdana" w:hAnsi="Verdana"/>
          <w:sz w:val="20"/>
          <w:szCs w:val="20"/>
        </w:rPr>
        <w:t>governance</w:t>
      </w:r>
      <w:proofErr w:type="spellEnd"/>
      <w:r w:rsidRPr="00CA60F4">
        <w:rPr>
          <w:rFonts w:ascii="Verdana" w:hAnsi="Verdana"/>
          <w:sz w:val="20"/>
          <w:szCs w:val="20"/>
        </w:rPr>
        <w:t xml:space="preserve">) van organisaties waarin belegd wordt kan het rendement op de belegging negatief beïnvloeden door bijvoorbeeld suboptimale zakelijke ethiek, </w:t>
      </w:r>
      <w:r w:rsidR="007B35FF">
        <w:rPr>
          <w:rFonts w:ascii="Verdana" w:hAnsi="Verdana"/>
          <w:sz w:val="20"/>
          <w:szCs w:val="20"/>
        </w:rPr>
        <w:t xml:space="preserve">onoorbare </w:t>
      </w:r>
      <w:r w:rsidRPr="00CA60F4">
        <w:rPr>
          <w:rFonts w:ascii="Verdana" w:hAnsi="Verdana"/>
          <w:sz w:val="20"/>
          <w:szCs w:val="20"/>
        </w:rPr>
        <w:t xml:space="preserve">concurrentie of </w:t>
      </w:r>
      <w:r w:rsidR="004C75AE">
        <w:rPr>
          <w:rFonts w:ascii="Verdana" w:hAnsi="Verdana"/>
          <w:sz w:val="20"/>
          <w:szCs w:val="20"/>
        </w:rPr>
        <w:t>slechte</w:t>
      </w:r>
      <w:r w:rsidRPr="00CA60F4">
        <w:rPr>
          <w:rFonts w:ascii="Verdana" w:hAnsi="Verdana"/>
          <w:sz w:val="20"/>
          <w:szCs w:val="20"/>
        </w:rPr>
        <w:t xml:space="preserve"> omgang met regelgeving en risk management.</w:t>
      </w:r>
    </w:p>
    <w:p w14:paraId="7786520A" w14:textId="77777777" w:rsidR="0087107F" w:rsidRPr="00CA60F4" w:rsidRDefault="0087107F" w:rsidP="009B7D4C">
      <w:pPr>
        <w:spacing w:after="0" w:line="276" w:lineRule="auto"/>
        <w:jc w:val="both"/>
        <w:rPr>
          <w:rFonts w:ascii="Verdana" w:hAnsi="Verdana"/>
          <w:sz w:val="20"/>
          <w:szCs w:val="20"/>
        </w:rPr>
      </w:pPr>
    </w:p>
    <w:p w14:paraId="5CDFF2FB" w14:textId="77777777" w:rsidR="00EC6818" w:rsidRPr="0087107F" w:rsidRDefault="00EC6818" w:rsidP="009B7D4C">
      <w:pPr>
        <w:spacing w:after="0" w:line="276" w:lineRule="auto"/>
        <w:jc w:val="both"/>
        <w:rPr>
          <w:rFonts w:ascii="Verdana" w:hAnsi="Verdana"/>
          <w:b/>
          <w:bCs/>
          <w:sz w:val="20"/>
          <w:szCs w:val="20"/>
        </w:rPr>
      </w:pPr>
      <w:r w:rsidRPr="0087107F">
        <w:rPr>
          <w:rFonts w:ascii="Verdana" w:hAnsi="Verdana"/>
          <w:b/>
          <w:bCs/>
          <w:sz w:val="20"/>
          <w:szCs w:val="20"/>
        </w:rPr>
        <w:t>Staatsobligaties</w:t>
      </w:r>
    </w:p>
    <w:p w14:paraId="43D61052" w14:textId="77777777" w:rsidR="0087107F" w:rsidRDefault="00EC6818" w:rsidP="009B7D4C">
      <w:pPr>
        <w:spacing w:after="0" w:line="276" w:lineRule="auto"/>
        <w:jc w:val="both"/>
        <w:rPr>
          <w:rFonts w:ascii="Verdana" w:hAnsi="Verdana"/>
          <w:sz w:val="20"/>
          <w:szCs w:val="20"/>
        </w:rPr>
      </w:pPr>
      <w:r w:rsidRPr="0087107F">
        <w:rPr>
          <w:rFonts w:ascii="Verdana" w:hAnsi="Verdana"/>
          <w:i/>
          <w:iCs/>
          <w:sz w:val="20"/>
          <w:szCs w:val="20"/>
        </w:rPr>
        <w:t>Risico’s verbonden met het milieu</w:t>
      </w:r>
      <w:r w:rsidRPr="0087107F">
        <w:rPr>
          <w:rFonts w:ascii="Verdana" w:hAnsi="Verdana"/>
          <w:sz w:val="20"/>
          <w:szCs w:val="20"/>
        </w:rPr>
        <w:t>;</w:t>
      </w:r>
      <w:r w:rsidRPr="00CA60F4">
        <w:rPr>
          <w:rFonts w:ascii="Verdana" w:hAnsi="Verdana"/>
          <w:sz w:val="20"/>
          <w:szCs w:val="20"/>
        </w:rPr>
        <w:t xml:space="preserve"> </w:t>
      </w:r>
      <w:r>
        <w:rPr>
          <w:rFonts w:ascii="Verdana" w:hAnsi="Verdana"/>
          <w:sz w:val="20"/>
          <w:szCs w:val="20"/>
        </w:rPr>
        <w:t>o</w:t>
      </w:r>
      <w:r w:rsidRPr="00CA60F4">
        <w:rPr>
          <w:rFonts w:ascii="Verdana" w:hAnsi="Verdana"/>
          <w:sz w:val="20"/>
          <w:szCs w:val="20"/>
        </w:rPr>
        <w:t xml:space="preserve">ok beleggingen in staatsobligaties kunnen negatief beïnvloed worden door duurzaamheidsrisico’s. De blootstelling van een land aan </w:t>
      </w:r>
      <w:r w:rsidRPr="00BC33C5">
        <w:rPr>
          <w:rFonts w:ascii="Verdana" w:hAnsi="Verdana"/>
          <w:sz w:val="20"/>
          <w:szCs w:val="20"/>
        </w:rPr>
        <w:t xml:space="preserve">klimaatrisico's </w:t>
      </w:r>
      <w:r w:rsidRPr="00CA60F4">
        <w:rPr>
          <w:rFonts w:ascii="Verdana" w:hAnsi="Verdana"/>
          <w:sz w:val="20"/>
          <w:szCs w:val="20"/>
        </w:rPr>
        <w:t>kan zijn economie rechtstreeks beïnvloeden. Zo kunnen extremen van het weer negatieve gevolgen hebben op  de infrastructuur, de landbouw, het toerisme en de watervoorziening.</w:t>
      </w:r>
      <w:r w:rsidR="004D3336">
        <w:rPr>
          <w:rFonts w:ascii="Verdana" w:hAnsi="Verdana"/>
          <w:sz w:val="20"/>
          <w:szCs w:val="20"/>
        </w:rPr>
        <w:t xml:space="preserve">                                                                      </w:t>
      </w:r>
      <w:r w:rsidR="00993066">
        <w:rPr>
          <w:rFonts w:ascii="Verdana" w:hAnsi="Verdana"/>
          <w:sz w:val="20"/>
          <w:szCs w:val="20"/>
        </w:rPr>
        <w:t xml:space="preserve">                                 </w:t>
      </w:r>
    </w:p>
    <w:p w14:paraId="6CD6A816" w14:textId="77777777" w:rsidR="0087107F" w:rsidRDefault="0087107F" w:rsidP="009B7D4C">
      <w:pPr>
        <w:spacing w:after="0" w:line="276" w:lineRule="auto"/>
        <w:jc w:val="both"/>
        <w:rPr>
          <w:rFonts w:ascii="Verdana" w:hAnsi="Verdana"/>
          <w:sz w:val="20"/>
          <w:szCs w:val="20"/>
        </w:rPr>
      </w:pPr>
    </w:p>
    <w:p w14:paraId="29D07FDC" w14:textId="77777777" w:rsidR="0087107F" w:rsidRDefault="00EC6818" w:rsidP="009B7D4C">
      <w:pPr>
        <w:spacing w:after="0" w:line="276" w:lineRule="auto"/>
        <w:jc w:val="both"/>
        <w:rPr>
          <w:rFonts w:ascii="Verdana" w:hAnsi="Verdana"/>
          <w:sz w:val="20"/>
          <w:szCs w:val="20"/>
        </w:rPr>
      </w:pPr>
      <w:r w:rsidRPr="0087107F">
        <w:rPr>
          <w:rFonts w:ascii="Verdana" w:hAnsi="Verdana"/>
          <w:i/>
          <w:iCs/>
          <w:sz w:val="20"/>
          <w:szCs w:val="20"/>
        </w:rPr>
        <w:t>Sociale risico’s</w:t>
      </w:r>
      <w:r>
        <w:rPr>
          <w:rFonts w:ascii="Verdana" w:hAnsi="Verdana"/>
          <w:sz w:val="20"/>
          <w:szCs w:val="20"/>
        </w:rPr>
        <w:t>; s</w:t>
      </w:r>
      <w:r w:rsidRPr="00CA60F4">
        <w:rPr>
          <w:rFonts w:ascii="Verdana" w:hAnsi="Verdana"/>
          <w:sz w:val="20"/>
          <w:szCs w:val="20"/>
        </w:rPr>
        <w:t>ociale factoren</w:t>
      </w:r>
      <w:r w:rsidR="00114B17">
        <w:rPr>
          <w:rFonts w:ascii="Verdana" w:hAnsi="Verdana"/>
          <w:sz w:val="20"/>
          <w:szCs w:val="20"/>
        </w:rPr>
        <w:t>,</w:t>
      </w:r>
      <w:r w:rsidRPr="00CA60F4">
        <w:rPr>
          <w:rFonts w:ascii="Verdana" w:hAnsi="Verdana"/>
          <w:sz w:val="20"/>
          <w:szCs w:val="20"/>
        </w:rPr>
        <w:t xml:space="preserve"> zoals de samenstelling van de beroepsbevolking, opleiding, gezondheid en economisch welzijn</w:t>
      </w:r>
      <w:r w:rsidR="00114B17">
        <w:rPr>
          <w:rFonts w:ascii="Verdana" w:hAnsi="Verdana"/>
          <w:sz w:val="20"/>
          <w:szCs w:val="20"/>
        </w:rPr>
        <w:t>,</w:t>
      </w:r>
      <w:r w:rsidRPr="00CA60F4">
        <w:rPr>
          <w:rFonts w:ascii="Verdana" w:hAnsi="Verdana"/>
          <w:sz w:val="20"/>
          <w:szCs w:val="20"/>
        </w:rPr>
        <w:t xml:space="preserve"> zijn belangrijk vanwege het belang van menselijk kapitaal voor economische groei. </w:t>
      </w:r>
      <w:r w:rsidR="00520B8B">
        <w:rPr>
          <w:rFonts w:ascii="Verdana" w:hAnsi="Verdana"/>
          <w:sz w:val="20"/>
          <w:szCs w:val="20"/>
        </w:rPr>
        <w:t xml:space="preserve">                                                               </w:t>
      </w:r>
    </w:p>
    <w:p w14:paraId="46B9C326" w14:textId="77777777" w:rsidR="0087107F" w:rsidRDefault="0087107F" w:rsidP="009B7D4C">
      <w:pPr>
        <w:spacing w:after="0" w:line="276" w:lineRule="auto"/>
        <w:jc w:val="both"/>
        <w:rPr>
          <w:rFonts w:ascii="Verdana" w:hAnsi="Verdana"/>
          <w:sz w:val="20"/>
          <w:szCs w:val="20"/>
        </w:rPr>
      </w:pPr>
    </w:p>
    <w:p w14:paraId="4AF344AF" w14:textId="59A8D8E2" w:rsidR="00EC6818" w:rsidRDefault="00EC6818" w:rsidP="009B7D4C">
      <w:pPr>
        <w:spacing w:after="0" w:line="276" w:lineRule="auto"/>
        <w:jc w:val="both"/>
        <w:rPr>
          <w:rFonts w:ascii="Verdana" w:hAnsi="Verdana"/>
          <w:sz w:val="20"/>
          <w:szCs w:val="20"/>
        </w:rPr>
      </w:pPr>
      <w:proofErr w:type="spellStart"/>
      <w:r w:rsidRPr="0087107F">
        <w:rPr>
          <w:rFonts w:ascii="Verdana" w:hAnsi="Verdana"/>
          <w:i/>
          <w:iCs/>
          <w:sz w:val="20"/>
          <w:szCs w:val="20"/>
        </w:rPr>
        <w:t>Governance</w:t>
      </w:r>
      <w:proofErr w:type="spellEnd"/>
      <w:r w:rsidRPr="0087107F">
        <w:rPr>
          <w:rFonts w:ascii="Verdana" w:hAnsi="Verdana"/>
          <w:i/>
          <w:iCs/>
          <w:sz w:val="20"/>
          <w:szCs w:val="20"/>
        </w:rPr>
        <w:t xml:space="preserve"> risico’s</w:t>
      </w:r>
      <w:r w:rsidRPr="00CA60F4">
        <w:rPr>
          <w:rFonts w:ascii="Verdana" w:hAnsi="Verdana"/>
          <w:sz w:val="20"/>
          <w:szCs w:val="20"/>
        </w:rPr>
        <w:t xml:space="preserve">; </w:t>
      </w:r>
      <w:r>
        <w:rPr>
          <w:rFonts w:ascii="Verdana" w:hAnsi="Verdana"/>
          <w:sz w:val="20"/>
          <w:szCs w:val="20"/>
        </w:rPr>
        <w:t>een g</w:t>
      </w:r>
      <w:r w:rsidRPr="00CA60F4">
        <w:rPr>
          <w:rFonts w:ascii="Verdana" w:hAnsi="Verdana"/>
          <w:sz w:val="20"/>
          <w:szCs w:val="20"/>
        </w:rPr>
        <w:t xml:space="preserve">oede </w:t>
      </w:r>
      <w:proofErr w:type="spellStart"/>
      <w:r w:rsidRPr="00CA60F4">
        <w:rPr>
          <w:rFonts w:ascii="Verdana" w:hAnsi="Verdana"/>
          <w:sz w:val="20"/>
          <w:szCs w:val="20"/>
        </w:rPr>
        <w:t>governance</w:t>
      </w:r>
      <w:proofErr w:type="spellEnd"/>
      <w:r w:rsidRPr="00CA60F4">
        <w:rPr>
          <w:rFonts w:ascii="Verdana" w:hAnsi="Verdana"/>
          <w:sz w:val="20"/>
          <w:szCs w:val="20"/>
        </w:rPr>
        <w:t xml:space="preserve"> is ook relevant voor landen. De politieke stabiliteit, de doeltreffendheid van de regering en de regelgeving, de institutionele kracht, de mate van corruptie en de rechtsstaat van een land kunnen hun economische aantrekkelijkheid beïnvloeden en zijn vaak bepalend voor het economisch succes van een land op de lange termijn.</w:t>
      </w:r>
    </w:p>
    <w:p w14:paraId="3D952FB7" w14:textId="77777777" w:rsidR="0087107F" w:rsidRDefault="0087107F" w:rsidP="009B7D4C">
      <w:pPr>
        <w:spacing w:after="0" w:line="276" w:lineRule="auto"/>
        <w:jc w:val="both"/>
        <w:rPr>
          <w:rFonts w:ascii="Verdana" w:hAnsi="Verdana"/>
          <w:sz w:val="20"/>
          <w:szCs w:val="20"/>
        </w:rPr>
      </w:pPr>
    </w:p>
    <w:p w14:paraId="768DFA0F" w14:textId="75BCAC29" w:rsidR="00EC6818" w:rsidRPr="0087107F" w:rsidRDefault="00EC6818" w:rsidP="009B7D4C">
      <w:pPr>
        <w:spacing w:after="0" w:line="276" w:lineRule="auto"/>
        <w:jc w:val="both"/>
        <w:rPr>
          <w:rFonts w:ascii="Verdana" w:hAnsi="Verdana"/>
          <w:b/>
          <w:bCs/>
          <w:sz w:val="20"/>
          <w:szCs w:val="20"/>
        </w:rPr>
      </w:pPr>
      <w:r w:rsidRPr="0087107F">
        <w:rPr>
          <w:rFonts w:ascii="Verdana" w:hAnsi="Verdana"/>
          <w:b/>
          <w:bCs/>
          <w:sz w:val="20"/>
          <w:szCs w:val="20"/>
        </w:rPr>
        <w:t xml:space="preserve">Vastgoed </w:t>
      </w:r>
      <w:r w:rsidR="00332D1A" w:rsidRPr="0087107F">
        <w:rPr>
          <w:rFonts w:ascii="Verdana" w:hAnsi="Verdana"/>
          <w:b/>
          <w:bCs/>
          <w:sz w:val="20"/>
          <w:szCs w:val="20"/>
        </w:rPr>
        <w:t>en hypotheken</w:t>
      </w:r>
    </w:p>
    <w:p w14:paraId="3FBF17CC" w14:textId="1F54629D" w:rsidR="00EC6818" w:rsidRDefault="00EC6818" w:rsidP="009B7D4C">
      <w:pPr>
        <w:spacing w:after="0" w:line="276" w:lineRule="auto"/>
        <w:jc w:val="both"/>
        <w:rPr>
          <w:rFonts w:ascii="Verdana" w:hAnsi="Verdana"/>
          <w:sz w:val="20"/>
          <w:szCs w:val="20"/>
        </w:rPr>
      </w:pPr>
      <w:r w:rsidRPr="00BA207C">
        <w:rPr>
          <w:rFonts w:ascii="Verdana" w:hAnsi="Verdana"/>
          <w:sz w:val="20"/>
          <w:szCs w:val="20"/>
        </w:rPr>
        <w:t xml:space="preserve">Voor de belegging in vastgoed </w:t>
      </w:r>
      <w:r w:rsidR="00332D1A">
        <w:rPr>
          <w:rFonts w:ascii="Verdana" w:hAnsi="Verdana"/>
          <w:sz w:val="20"/>
          <w:szCs w:val="20"/>
        </w:rPr>
        <w:t xml:space="preserve">en hypotheken </w:t>
      </w:r>
      <w:r w:rsidRPr="00BA207C">
        <w:rPr>
          <w:rFonts w:ascii="Verdana" w:hAnsi="Verdana"/>
          <w:sz w:val="20"/>
          <w:szCs w:val="20"/>
        </w:rPr>
        <w:t>zijn andere specifieke duurzaamheidsrisico’s relevant. Vastgoed kan te maken hebben met ecologische transitierisico’s waarbij op basis van toenemende wet- en regelgeving aanvullende eisen kunnen worden gesteld aan bijvoorbeeld het energieverbruik van woningen en kantoren. Dit soort ontwikkelingen kunnen gevolgen hebben voor de waarde van de vastgoedbelegging. Daarnaast kunnen op de lange en korte termijn ecologische fysieke risico’s verwezenlijken als gevolg van klimaatverandering. Vastgoed zal in bepaalde gebieden schade ondervinden wanneer extreme weersgebeurtenissen zoals hitte of geleidelijke ontwikkelingen zoals de stijging van de zeespiegel zich voordoen. Sociale risico’s zijn onder andere relevant bij de verhuur van woningen en kantoren. Het onvoldoende behartigen van huurdersbelangen, zoals achterstallig onderhoud in woningen, kan leiden tot een lage huurderstevredenheid of negatieve aandacht in het nieuws.</w:t>
      </w:r>
    </w:p>
    <w:p w14:paraId="0357E06E" w14:textId="77777777" w:rsidR="0087107F" w:rsidRDefault="0087107F" w:rsidP="009B7D4C">
      <w:pPr>
        <w:spacing w:after="0" w:line="276" w:lineRule="auto"/>
        <w:jc w:val="both"/>
        <w:rPr>
          <w:rFonts w:ascii="Verdana" w:hAnsi="Verdana"/>
          <w:sz w:val="20"/>
          <w:szCs w:val="20"/>
        </w:rPr>
      </w:pPr>
    </w:p>
    <w:p w14:paraId="36107678" w14:textId="05684148" w:rsidR="00AA15DD" w:rsidRPr="007F14E0" w:rsidRDefault="00AA15DD" w:rsidP="009B7D4C">
      <w:pPr>
        <w:pStyle w:val="ListParagraph"/>
        <w:numPr>
          <w:ilvl w:val="0"/>
          <w:numId w:val="18"/>
        </w:numPr>
        <w:spacing w:after="0" w:line="276" w:lineRule="auto"/>
        <w:jc w:val="both"/>
        <w:rPr>
          <w:rFonts w:ascii="Verdana" w:hAnsi="Verdana"/>
          <w:color w:val="00B0F0"/>
          <w:sz w:val="24"/>
          <w:szCs w:val="24"/>
        </w:rPr>
      </w:pPr>
      <w:r w:rsidRPr="007F14E0">
        <w:rPr>
          <w:rFonts w:ascii="Verdana" w:hAnsi="Verdana"/>
          <w:color w:val="00B0F0"/>
          <w:sz w:val="24"/>
          <w:szCs w:val="24"/>
        </w:rPr>
        <w:t>Hoe gaat Provisum om met duurzaamheidsrisico’s?</w:t>
      </w:r>
    </w:p>
    <w:p w14:paraId="2E4F8B9C" w14:textId="041CACCF" w:rsidR="00AA15DD" w:rsidRPr="00CA60F4" w:rsidRDefault="00AA15DD" w:rsidP="009B7D4C">
      <w:pPr>
        <w:spacing w:after="0" w:line="276" w:lineRule="auto"/>
        <w:jc w:val="both"/>
        <w:rPr>
          <w:rFonts w:ascii="Verdana" w:hAnsi="Verdana"/>
          <w:sz w:val="20"/>
          <w:szCs w:val="20"/>
        </w:rPr>
      </w:pPr>
      <w:r w:rsidRPr="00CA60F4">
        <w:rPr>
          <w:rFonts w:ascii="Verdana" w:hAnsi="Verdana"/>
          <w:sz w:val="20"/>
          <w:szCs w:val="20"/>
        </w:rPr>
        <w:t xml:space="preserve">Het bestuur van Provisum is er van overtuigd dat de factor duurzaamheid als onderdeel van maatschappelijk verantwoord beleggen van positieve invloed </w:t>
      </w:r>
      <w:r w:rsidR="00EF1762">
        <w:rPr>
          <w:rFonts w:ascii="Verdana" w:hAnsi="Verdana"/>
          <w:sz w:val="20"/>
          <w:szCs w:val="20"/>
        </w:rPr>
        <w:t>kan zijn</w:t>
      </w:r>
      <w:r w:rsidRPr="00CA60F4">
        <w:rPr>
          <w:rFonts w:ascii="Verdana" w:hAnsi="Verdana"/>
          <w:sz w:val="20"/>
          <w:szCs w:val="20"/>
        </w:rPr>
        <w:t xml:space="preserve"> op het risicorendementsprofiel van de beleggingen. Voorwaarde is wel dat er pruden</w:t>
      </w:r>
      <w:r w:rsidR="00991FB2">
        <w:rPr>
          <w:rFonts w:ascii="Verdana" w:hAnsi="Verdana"/>
          <w:sz w:val="20"/>
          <w:szCs w:val="20"/>
        </w:rPr>
        <w:t>t wordt belegd</w:t>
      </w:r>
      <w:r w:rsidR="00820043">
        <w:rPr>
          <w:rFonts w:ascii="Verdana" w:hAnsi="Verdana"/>
          <w:sz w:val="20"/>
          <w:szCs w:val="20"/>
        </w:rPr>
        <w:t xml:space="preserve"> en </w:t>
      </w:r>
      <w:r w:rsidRPr="00CA60F4">
        <w:rPr>
          <w:rFonts w:ascii="Verdana" w:hAnsi="Verdana"/>
          <w:sz w:val="20"/>
          <w:szCs w:val="20"/>
        </w:rPr>
        <w:t xml:space="preserve">dat het risicobeheer van het fonds zich uitstrekt tot de beheersing van de duurzaamheidsrisico’s, t.w. het identificeren en mitigeren van duurzaamheidsrisico’s.  </w:t>
      </w:r>
    </w:p>
    <w:p w14:paraId="1E66BCE6" w14:textId="227B1087" w:rsidR="00AA15DD" w:rsidRPr="00CA60F4" w:rsidRDefault="00476309" w:rsidP="009B7D4C">
      <w:pPr>
        <w:spacing w:after="0" w:line="276" w:lineRule="auto"/>
        <w:jc w:val="both"/>
        <w:rPr>
          <w:rFonts w:ascii="Verdana" w:hAnsi="Verdana"/>
          <w:sz w:val="20"/>
          <w:szCs w:val="20"/>
        </w:rPr>
      </w:pPr>
      <w:r>
        <w:rPr>
          <w:rFonts w:ascii="Verdana" w:hAnsi="Verdana"/>
          <w:sz w:val="20"/>
          <w:szCs w:val="20"/>
        </w:rPr>
        <w:t xml:space="preserve">Voor de uitvoering van het beleid is het volgende van belang. </w:t>
      </w:r>
      <w:r w:rsidR="00AA15DD" w:rsidRPr="00CA60F4">
        <w:rPr>
          <w:rFonts w:ascii="Verdana" w:hAnsi="Verdana"/>
          <w:sz w:val="20"/>
          <w:szCs w:val="20"/>
        </w:rPr>
        <w:t>Provisum heeft het vermogensbeheer uitbesteed aan Anthos Fund &amp; Asset Management (AFAM). AFAM implementeert het maatschappelijk verantwoord beleggingsbeleid van het fonds.</w:t>
      </w:r>
    </w:p>
    <w:p w14:paraId="7B1BB0A1" w14:textId="390394C0" w:rsidR="00AA15DD" w:rsidRDefault="00AA15DD" w:rsidP="009B7D4C">
      <w:pPr>
        <w:spacing w:after="0" w:line="276" w:lineRule="auto"/>
        <w:jc w:val="both"/>
        <w:rPr>
          <w:rFonts w:ascii="Verdana" w:hAnsi="Verdana"/>
          <w:sz w:val="20"/>
          <w:szCs w:val="20"/>
        </w:rPr>
      </w:pPr>
      <w:r w:rsidRPr="00CA60F4">
        <w:rPr>
          <w:rFonts w:ascii="Verdana" w:hAnsi="Verdana"/>
          <w:sz w:val="20"/>
          <w:szCs w:val="20"/>
        </w:rPr>
        <w:t>Een groot deel van de portefeuille is in beleggingsfondsen belegd. Omdat Provisum dan samen met andere beleggers in een beleggingsfonds participeert</w:t>
      </w:r>
      <w:r w:rsidR="006D56BD">
        <w:rPr>
          <w:rFonts w:ascii="Verdana" w:hAnsi="Verdana"/>
          <w:sz w:val="20"/>
          <w:szCs w:val="20"/>
        </w:rPr>
        <w:t>,</w:t>
      </w:r>
      <w:r w:rsidR="008B41EC">
        <w:rPr>
          <w:rFonts w:ascii="Verdana" w:hAnsi="Verdana"/>
          <w:sz w:val="20"/>
          <w:szCs w:val="20"/>
        </w:rPr>
        <w:t xml:space="preserve"> </w:t>
      </w:r>
      <w:r w:rsidRPr="00CA60F4">
        <w:rPr>
          <w:rFonts w:ascii="Verdana" w:hAnsi="Verdana"/>
          <w:sz w:val="20"/>
          <w:szCs w:val="20"/>
        </w:rPr>
        <w:t xml:space="preserve">zijn de hierna beschreven instrumenten om de risico’s te mitigeren bij beleggingsfondsen moeilijker toe te passen of </w:t>
      </w:r>
      <w:r w:rsidR="006D56BD">
        <w:rPr>
          <w:rFonts w:ascii="Verdana" w:hAnsi="Verdana"/>
          <w:sz w:val="20"/>
          <w:szCs w:val="20"/>
        </w:rPr>
        <w:t>zijn</w:t>
      </w:r>
      <w:r w:rsidRPr="00CA60F4">
        <w:rPr>
          <w:rFonts w:ascii="Verdana" w:hAnsi="Verdana"/>
          <w:sz w:val="20"/>
          <w:szCs w:val="20"/>
        </w:rPr>
        <w:t xml:space="preserve"> in het geheel niet mogelijk. Voor een nadere toelichting en uitwerking van deze restrict</w:t>
      </w:r>
      <w:r w:rsidR="002F5322">
        <w:rPr>
          <w:rFonts w:ascii="Verdana" w:hAnsi="Verdana"/>
          <w:sz w:val="20"/>
          <w:szCs w:val="20"/>
        </w:rPr>
        <w:t xml:space="preserve">ie </w:t>
      </w:r>
      <w:r w:rsidRPr="00CA60F4">
        <w:rPr>
          <w:rFonts w:ascii="Verdana" w:hAnsi="Verdana"/>
          <w:sz w:val="20"/>
          <w:szCs w:val="20"/>
        </w:rPr>
        <w:t xml:space="preserve">wordt verwezen naar </w:t>
      </w:r>
      <w:r w:rsidRPr="006E48FE">
        <w:rPr>
          <w:rFonts w:ascii="Verdana" w:hAnsi="Verdana"/>
          <w:sz w:val="20"/>
          <w:szCs w:val="20"/>
        </w:rPr>
        <w:t xml:space="preserve">het </w:t>
      </w:r>
      <w:hyperlink r:id="rId11" w:anchor="Beleidsdocumenten" w:history="1">
        <w:r w:rsidRPr="00CE096D">
          <w:rPr>
            <w:rStyle w:val="Hyperlink"/>
            <w:rFonts w:ascii="Verdana" w:hAnsi="Verdana"/>
            <w:sz w:val="20"/>
            <w:szCs w:val="20"/>
          </w:rPr>
          <w:t>Beleid</w:t>
        </w:r>
        <w:r w:rsidR="00DC0120" w:rsidRPr="00CE096D">
          <w:rPr>
            <w:rStyle w:val="Hyperlink"/>
            <w:rFonts w:ascii="Verdana" w:hAnsi="Verdana"/>
            <w:sz w:val="20"/>
            <w:szCs w:val="20"/>
          </w:rPr>
          <w:t xml:space="preserve"> M</w:t>
        </w:r>
        <w:r w:rsidR="00BD685B" w:rsidRPr="00CE096D">
          <w:rPr>
            <w:rStyle w:val="Hyperlink"/>
            <w:rFonts w:ascii="Verdana" w:hAnsi="Verdana"/>
            <w:sz w:val="20"/>
            <w:szCs w:val="20"/>
          </w:rPr>
          <w:t>a</w:t>
        </w:r>
        <w:r w:rsidR="00DC0120" w:rsidRPr="00CE096D">
          <w:rPr>
            <w:rStyle w:val="Hyperlink"/>
            <w:rFonts w:ascii="Verdana" w:hAnsi="Verdana"/>
            <w:sz w:val="20"/>
            <w:szCs w:val="20"/>
          </w:rPr>
          <w:t xml:space="preserve">atschappelijk </w:t>
        </w:r>
        <w:r w:rsidR="00BD685B" w:rsidRPr="00CE096D">
          <w:rPr>
            <w:rStyle w:val="Hyperlink"/>
            <w:rFonts w:ascii="Verdana" w:hAnsi="Verdana"/>
            <w:sz w:val="20"/>
            <w:szCs w:val="20"/>
          </w:rPr>
          <w:t>verantwoord b</w:t>
        </w:r>
        <w:r w:rsidR="00DC0120" w:rsidRPr="00CE096D">
          <w:rPr>
            <w:rStyle w:val="Hyperlink"/>
            <w:rFonts w:ascii="Verdana" w:hAnsi="Verdana"/>
            <w:sz w:val="20"/>
            <w:szCs w:val="20"/>
          </w:rPr>
          <w:t>eleggen</w:t>
        </w:r>
      </w:hyperlink>
      <w:r w:rsidR="00DC0120">
        <w:rPr>
          <w:rFonts w:ascii="Verdana" w:hAnsi="Verdana"/>
          <w:sz w:val="20"/>
          <w:szCs w:val="20"/>
        </w:rPr>
        <w:t>.</w:t>
      </w:r>
    </w:p>
    <w:p w14:paraId="0E351CFE" w14:textId="68B274A8" w:rsidR="008F4B88" w:rsidRDefault="00111615" w:rsidP="009B7D4C">
      <w:pPr>
        <w:spacing w:after="0" w:line="276" w:lineRule="auto"/>
        <w:jc w:val="both"/>
        <w:rPr>
          <w:rFonts w:ascii="Verdana" w:hAnsi="Verdana"/>
          <w:sz w:val="20"/>
          <w:szCs w:val="20"/>
        </w:rPr>
      </w:pPr>
      <w:r>
        <w:rPr>
          <w:rFonts w:ascii="Verdana" w:hAnsi="Verdana"/>
          <w:sz w:val="20"/>
          <w:szCs w:val="20"/>
        </w:rPr>
        <w:t>Voor de b</w:t>
      </w:r>
      <w:r w:rsidR="00FA7311">
        <w:rPr>
          <w:rFonts w:ascii="Verdana" w:hAnsi="Verdana"/>
          <w:sz w:val="20"/>
          <w:szCs w:val="20"/>
        </w:rPr>
        <w:t>e</w:t>
      </w:r>
      <w:r>
        <w:rPr>
          <w:rFonts w:ascii="Verdana" w:hAnsi="Verdana"/>
          <w:sz w:val="20"/>
          <w:szCs w:val="20"/>
        </w:rPr>
        <w:t>heersing van de duurzaamhe</w:t>
      </w:r>
      <w:r w:rsidR="00344B2A">
        <w:rPr>
          <w:rFonts w:ascii="Verdana" w:hAnsi="Verdana"/>
          <w:sz w:val="20"/>
          <w:szCs w:val="20"/>
        </w:rPr>
        <w:t>i</w:t>
      </w:r>
      <w:r>
        <w:rPr>
          <w:rFonts w:ascii="Verdana" w:hAnsi="Verdana"/>
          <w:sz w:val="20"/>
          <w:szCs w:val="20"/>
        </w:rPr>
        <w:t>dsrisico’s maakt Provisum gebruik van een aantal instrumente</w:t>
      </w:r>
      <w:r w:rsidR="00C83AC4">
        <w:rPr>
          <w:rFonts w:ascii="Verdana" w:hAnsi="Verdana"/>
          <w:sz w:val="20"/>
          <w:szCs w:val="20"/>
        </w:rPr>
        <w:t>n. Deze instrumenten worden op hoofdlijnen behandeld in hoofdstuk</w:t>
      </w:r>
      <w:r w:rsidR="00271C09">
        <w:rPr>
          <w:rFonts w:ascii="Verdana" w:hAnsi="Verdana"/>
          <w:sz w:val="20"/>
          <w:szCs w:val="20"/>
        </w:rPr>
        <w:t xml:space="preserve"> 5</w:t>
      </w:r>
      <w:r w:rsidR="00344B2A">
        <w:rPr>
          <w:rFonts w:ascii="Verdana" w:hAnsi="Verdana"/>
          <w:sz w:val="20"/>
          <w:szCs w:val="20"/>
        </w:rPr>
        <w:t>.</w:t>
      </w:r>
    </w:p>
    <w:p w14:paraId="6827E358" w14:textId="77777777" w:rsidR="0087107F" w:rsidRDefault="0087107F" w:rsidP="009B7D4C">
      <w:pPr>
        <w:spacing w:after="0" w:line="276" w:lineRule="auto"/>
        <w:jc w:val="both"/>
        <w:rPr>
          <w:rFonts w:ascii="Verdana" w:hAnsi="Verdana"/>
          <w:sz w:val="20"/>
          <w:szCs w:val="20"/>
        </w:rPr>
      </w:pPr>
    </w:p>
    <w:p w14:paraId="5BF6D336" w14:textId="17728F46" w:rsidR="00FA0C86" w:rsidRPr="007F14E0" w:rsidRDefault="008F4B88" w:rsidP="009B7D4C">
      <w:pPr>
        <w:pStyle w:val="ListParagraph"/>
        <w:numPr>
          <w:ilvl w:val="0"/>
          <w:numId w:val="18"/>
        </w:numPr>
        <w:spacing w:after="0" w:line="276" w:lineRule="auto"/>
        <w:jc w:val="both"/>
        <w:rPr>
          <w:rFonts w:ascii="Verdana" w:hAnsi="Verdana"/>
          <w:color w:val="00B0F0"/>
          <w:sz w:val="24"/>
          <w:szCs w:val="24"/>
        </w:rPr>
      </w:pPr>
      <w:r w:rsidRPr="007F14E0">
        <w:rPr>
          <w:rFonts w:ascii="Verdana" w:hAnsi="Verdana"/>
          <w:color w:val="00B0F0"/>
          <w:sz w:val="24"/>
          <w:szCs w:val="24"/>
        </w:rPr>
        <w:t>V</w:t>
      </w:r>
      <w:r w:rsidR="000A6132" w:rsidRPr="007F14E0">
        <w:rPr>
          <w:rFonts w:ascii="Verdana" w:hAnsi="Verdana"/>
          <w:color w:val="00B0F0"/>
          <w:sz w:val="24"/>
          <w:szCs w:val="24"/>
        </w:rPr>
        <w:t>aststelling en prioritering van de belangrijkste ongunstige effecten</w:t>
      </w:r>
    </w:p>
    <w:p w14:paraId="39F80F15" w14:textId="7905DEDA" w:rsidR="009F724F" w:rsidRDefault="00E17C0D" w:rsidP="009B7D4C">
      <w:pPr>
        <w:spacing w:after="0" w:line="276" w:lineRule="auto"/>
        <w:contextualSpacing/>
        <w:jc w:val="both"/>
        <w:rPr>
          <w:rFonts w:ascii="Verdana" w:hAnsi="Verdana"/>
          <w:sz w:val="20"/>
          <w:szCs w:val="20"/>
        </w:rPr>
      </w:pPr>
      <w:r w:rsidRPr="001F57F1">
        <w:rPr>
          <w:rFonts w:ascii="Verdana" w:hAnsi="Verdana"/>
          <w:sz w:val="20"/>
          <w:szCs w:val="20"/>
        </w:rPr>
        <w:t>De SFDR schrijft financiële marktpartijen voor om in hun beleid te beschrijven hoe zij de belangrijkste ongunstige duurzaamheidseffecten en indicatoren identificeren</w:t>
      </w:r>
      <w:r w:rsidR="00AD7389">
        <w:rPr>
          <w:rFonts w:ascii="Verdana" w:hAnsi="Verdana"/>
          <w:sz w:val="20"/>
          <w:szCs w:val="20"/>
        </w:rPr>
        <w:t xml:space="preserve"> </w:t>
      </w:r>
      <w:r w:rsidRPr="001F57F1">
        <w:rPr>
          <w:rFonts w:ascii="Verdana" w:hAnsi="Verdana"/>
          <w:sz w:val="20"/>
          <w:szCs w:val="20"/>
        </w:rPr>
        <w:t>en te prioriteren op basis van ongunstige duurzaamheidsindicatoren</w:t>
      </w:r>
      <w:r w:rsidR="00525D8F">
        <w:rPr>
          <w:rFonts w:ascii="Verdana" w:hAnsi="Verdana"/>
          <w:sz w:val="20"/>
          <w:szCs w:val="20"/>
        </w:rPr>
        <w:t xml:space="preserve">. </w:t>
      </w:r>
      <w:r w:rsidR="00C330A9">
        <w:rPr>
          <w:rFonts w:ascii="Verdana" w:hAnsi="Verdana"/>
          <w:sz w:val="20"/>
          <w:szCs w:val="20"/>
        </w:rPr>
        <w:t>I</w:t>
      </w:r>
      <w:r w:rsidRPr="001F57F1">
        <w:rPr>
          <w:rFonts w:ascii="Verdana" w:hAnsi="Verdana"/>
          <w:sz w:val="20"/>
          <w:szCs w:val="20"/>
        </w:rPr>
        <w:t xml:space="preserve">n de </w:t>
      </w:r>
      <w:proofErr w:type="spellStart"/>
      <w:r w:rsidR="00F06624">
        <w:rPr>
          <w:rFonts w:ascii="Verdana" w:hAnsi="Verdana"/>
          <w:sz w:val="20"/>
          <w:szCs w:val="20"/>
        </w:rPr>
        <w:t>Regulatory</w:t>
      </w:r>
      <w:proofErr w:type="spellEnd"/>
      <w:r w:rsidR="00F06624">
        <w:rPr>
          <w:rFonts w:ascii="Verdana" w:hAnsi="Verdana"/>
          <w:sz w:val="20"/>
          <w:szCs w:val="20"/>
        </w:rPr>
        <w:t xml:space="preserve"> Technical Standards (</w:t>
      </w:r>
      <w:r w:rsidRPr="001F57F1">
        <w:rPr>
          <w:rFonts w:ascii="Verdana" w:hAnsi="Verdana"/>
          <w:sz w:val="20"/>
          <w:szCs w:val="20"/>
        </w:rPr>
        <w:t>RTS</w:t>
      </w:r>
      <w:r w:rsidR="00F06624">
        <w:rPr>
          <w:rFonts w:ascii="Verdana" w:hAnsi="Verdana"/>
          <w:sz w:val="20"/>
          <w:szCs w:val="20"/>
        </w:rPr>
        <w:t>)</w:t>
      </w:r>
      <w:r w:rsidR="00D928BC">
        <w:rPr>
          <w:rFonts w:ascii="Verdana" w:hAnsi="Verdana"/>
          <w:sz w:val="20"/>
          <w:szCs w:val="20"/>
        </w:rPr>
        <w:t xml:space="preserve"> van de SFDR-wetgeving</w:t>
      </w:r>
      <w:r w:rsidR="00C330A9">
        <w:rPr>
          <w:rFonts w:ascii="Verdana" w:hAnsi="Verdana"/>
          <w:sz w:val="20"/>
          <w:szCs w:val="20"/>
        </w:rPr>
        <w:t xml:space="preserve"> zijn</w:t>
      </w:r>
      <w:r w:rsidRPr="001F57F1">
        <w:rPr>
          <w:rFonts w:ascii="Verdana" w:hAnsi="Verdana"/>
          <w:sz w:val="20"/>
          <w:szCs w:val="20"/>
        </w:rPr>
        <w:t xml:space="preserve"> </w:t>
      </w:r>
      <w:r w:rsidR="00C330A9">
        <w:rPr>
          <w:rFonts w:ascii="Verdana" w:hAnsi="Verdana"/>
          <w:sz w:val="20"/>
          <w:szCs w:val="20"/>
        </w:rPr>
        <w:t>d</w:t>
      </w:r>
      <w:r w:rsidRPr="001F57F1">
        <w:rPr>
          <w:rFonts w:ascii="Verdana" w:hAnsi="Verdana"/>
          <w:sz w:val="20"/>
          <w:szCs w:val="20"/>
        </w:rPr>
        <w:t xml:space="preserve">eze RTS-indicatoren </w:t>
      </w:r>
      <w:r w:rsidR="00EE2F15">
        <w:rPr>
          <w:rFonts w:ascii="Verdana" w:hAnsi="Verdana"/>
          <w:sz w:val="20"/>
          <w:szCs w:val="20"/>
        </w:rPr>
        <w:t>gedetailleerd  beschreven</w:t>
      </w:r>
      <w:r w:rsidR="00D017AD">
        <w:rPr>
          <w:rFonts w:ascii="Verdana" w:hAnsi="Verdana"/>
          <w:sz w:val="20"/>
          <w:szCs w:val="20"/>
        </w:rPr>
        <w:t xml:space="preserve">. </w:t>
      </w:r>
      <w:r w:rsidR="009F724F">
        <w:rPr>
          <w:rFonts w:ascii="Verdana" w:hAnsi="Verdana"/>
          <w:sz w:val="20"/>
          <w:szCs w:val="20"/>
        </w:rPr>
        <w:t xml:space="preserve">Provisum </w:t>
      </w:r>
      <w:r w:rsidR="0068217D">
        <w:rPr>
          <w:rFonts w:ascii="Verdana" w:hAnsi="Verdana"/>
          <w:sz w:val="20"/>
          <w:szCs w:val="20"/>
        </w:rPr>
        <w:t xml:space="preserve">zal </w:t>
      </w:r>
      <w:r w:rsidR="009F724F">
        <w:rPr>
          <w:rFonts w:ascii="Verdana" w:hAnsi="Verdana"/>
          <w:sz w:val="20"/>
          <w:szCs w:val="20"/>
        </w:rPr>
        <w:t xml:space="preserve">in het kader van SFDR over 18 verplichte en </w:t>
      </w:r>
      <w:r w:rsidR="00FD4871">
        <w:rPr>
          <w:rFonts w:ascii="Verdana" w:hAnsi="Verdana"/>
          <w:sz w:val="20"/>
          <w:szCs w:val="20"/>
        </w:rPr>
        <w:t>minimaal 2</w:t>
      </w:r>
      <w:r w:rsidR="009F724F">
        <w:rPr>
          <w:rFonts w:ascii="Verdana" w:hAnsi="Verdana"/>
          <w:sz w:val="20"/>
          <w:szCs w:val="20"/>
        </w:rPr>
        <w:t xml:space="preserve"> vrijwillige </w:t>
      </w:r>
      <w:proofErr w:type="spellStart"/>
      <w:r w:rsidR="009F724F">
        <w:rPr>
          <w:rFonts w:ascii="Verdana" w:hAnsi="Verdana"/>
          <w:sz w:val="20"/>
          <w:szCs w:val="20"/>
        </w:rPr>
        <w:t>Principle</w:t>
      </w:r>
      <w:proofErr w:type="spellEnd"/>
      <w:r w:rsidR="009F724F">
        <w:rPr>
          <w:rFonts w:ascii="Verdana" w:hAnsi="Verdana"/>
          <w:sz w:val="20"/>
          <w:szCs w:val="20"/>
        </w:rPr>
        <w:t xml:space="preserve"> Adverse Indicators (PAI)</w:t>
      </w:r>
      <w:r w:rsidR="00FD4871">
        <w:rPr>
          <w:rFonts w:ascii="Verdana" w:hAnsi="Verdana"/>
          <w:sz w:val="20"/>
          <w:szCs w:val="20"/>
        </w:rPr>
        <w:t xml:space="preserve"> rapporteren, voor het eerst voor 1 juli 2024</w:t>
      </w:r>
      <w:r w:rsidR="009F724F">
        <w:rPr>
          <w:rFonts w:ascii="Verdana" w:hAnsi="Verdana"/>
          <w:sz w:val="20"/>
          <w:szCs w:val="20"/>
        </w:rPr>
        <w:t xml:space="preserve">. </w:t>
      </w:r>
    </w:p>
    <w:p w14:paraId="340FFCB4" w14:textId="77777777" w:rsidR="00475252" w:rsidRPr="001F57F1" w:rsidRDefault="00475252" w:rsidP="009B7D4C">
      <w:pPr>
        <w:spacing w:after="0" w:line="276" w:lineRule="auto"/>
        <w:contextualSpacing/>
        <w:jc w:val="both"/>
        <w:rPr>
          <w:rFonts w:ascii="Verdana" w:hAnsi="Verdana"/>
          <w:sz w:val="20"/>
          <w:szCs w:val="20"/>
        </w:rPr>
      </w:pPr>
    </w:p>
    <w:p w14:paraId="444473D9" w14:textId="7BE3750A" w:rsidR="005F4642" w:rsidRPr="00E9739D" w:rsidRDefault="000A6132" w:rsidP="009B7D4C">
      <w:pPr>
        <w:spacing w:after="0" w:line="276" w:lineRule="auto"/>
        <w:jc w:val="both"/>
        <w:rPr>
          <w:rFonts w:ascii="Verdana" w:hAnsi="Verdana"/>
          <w:sz w:val="20"/>
          <w:szCs w:val="20"/>
        </w:rPr>
      </w:pPr>
      <w:r w:rsidRPr="001F57F1">
        <w:rPr>
          <w:rFonts w:ascii="Verdana" w:hAnsi="Verdana"/>
          <w:sz w:val="20"/>
          <w:szCs w:val="20"/>
        </w:rPr>
        <w:t>Provisum heeft het IMVB-convenant ondertekend</w:t>
      </w:r>
      <w:r w:rsidR="008F27C4">
        <w:rPr>
          <w:rFonts w:ascii="Verdana" w:hAnsi="Verdana"/>
          <w:sz w:val="20"/>
          <w:szCs w:val="20"/>
        </w:rPr>
        <w:t xml:space="preserve"> en </w:t>
      </w:r>
      <w:r w:rsidRPr="001F57F1">
        <w:rPr>
          <w:rFonts w:ascii="Verdana" w:hAnsi="Verdana"/>
          <w:sz w:val="20"/>
          <w:szCs w:val="20"/>
        </w:rPr>
        <w:t xml:space="preserve">heeft de OESO-richtlijnen over </w:t>
      </w:r>
      <w:proofErr w:type="spellStart"/>
      <w:r w:rsidRPr="001F57F1">
        <w:rPr>
          <w:rFonts w:ascii="Verdana" w:hAnsi="Verdana"/>
          <w:sz w:val="20"/>
          <w:szCs w:val="20"/>
        </w:rPr>
        <w:t>due</w:t>
      </w:r>
      <w:proofErr w:type="spellEnd"/>
      <w:r w:rsidRPr="001F57F1">
        <w:rPr>
          <w:rFonts w:ascii="Verdana" w:hAnsi="Verdana"/>
          <w:sz w:val="20"/>
          <w:szCs w:val="20"/>
        </w:rPr>
        <w:t xml:space="preserve"> diligence </w:t>
      </w:r>
      <w:r w:rsidR="008F27C4">
        <w:rPr>
          <w:rFonts w:ascii="Verdana" w:hAnsi="Verdana"/>
          <w:sz w:val="20"/>
          <w:szCs w:val="20"/>
        </w:rPr>
        <w:t>ge</w:t>
      </w:r>
      <w:r w:rsidR="008F27C4" w:rsidRPr="001F57F1">
        <w:rPr>
          <w:rFonts w:ascii="Verdana" w:hAnsi="Verdana"/>
          <w:sz w:val="20"/>
          <w:szCs w:val="20"/>
        </w:rPr>
        <w:t>ïmplemente</w:t>
      </w:r>
      <w:r w:rsidR="008F27C4">
        <w:rPr>
          <w:rFonts w:ascii="Verdana" w:hAnsi="Verdana"/>
          <w:sz w:val="20"/>
          <w:szCs w:val="20"/>
        </w:rPr>
        <w:t>erd</w:t>
      </w:r>
      <w:r w:rsidRPr="001F57F1">
        <w:rPr>
          <w:rFonts w:ascii="Verdana" w:hAnsi="Verdana"/>
          <w:sz w:val="20"/>
          <w:szCs w:val="20"/>
        </w:rPr>
        <w:t xml:space="preserve">. </w:t>
      </w:r>
      <w:r w:rsidR="005F4642">
        <w:rPr>
          <w:rFonts w:ascii="Verdana" w:hAnsi="Verdana"/>
          <w:color w:val="000000"/>
          <w:sz w:val="20"/>
          <w:szCs w:val="20"/>
        </w:rPr>
        <w:t xml:space="preserve">Het </w:t>
      </w:r>
      <w:proofErr w:type="spellStart"/>
      <w:r w:rsidR="005F4642">
        <w:rPr>
          <w:rFonts w:ascii="Verdana" w:hAnsi="Verdana"/>
          <w:color w:val="000000"/>
          <w:sz w:val="20"/>
          <w:szCs w:val="20"/>
        </w:rPr>
        <w:t>due</w:t>
      </w:r>
      <w:proofErr w:type="spellEnd"/>
      <w:r w:rsidR="005F4642">
        <w:rPr>
          <w:rFonts w:ascii="Verdana" w:hAnsi="Verdana"/>
          <w:color w:val="000000"/>
          <w:sz w:val="20"/>
          <w:szCs w:val="20"/>
        </w:rPr>
        <w:t xml:space="preserve"> diligence proces</w:t>
      </w:r>
      <w:r w:rsidR="005F4642" w:rsidRPr="00CA60F4">
        <w:rPr>
          <w:rFonts w:ascii="Verdana" w:hAnsi="Verdana"/>
          <w:color w:val="000000"/>
          <w:sz w:val="20"/>
          <w:szCs w:val="20"/>
        </w:rPr>
        <w:t xml:space="preserve"> bestaat uit zes stappen,</w:t>
      </w:r>
    </w:p>
    <w:p w14:paraId="111D2C31" w14:textId="77777777" w:rsidR="005F4642" w:rsidRPr="00CA60F4" w:rsidRDefault="005F4642" w:rsidP="009B7D4C">
      <w:pPr>
        <w:pStyle w:val="ListParagraph"/>
        <w:numPr>
          <w:ilvl w:val="0"/>
          <w:numId w:val="3"/>
        </w:numPr>
        <w:spacing w:after="0" w:line="276" w:lineRule="auto"/>
        <w:jc w:val="both"/>
        <w:rPr>
          <w:rFonts w:ascii="Verdana" w:hAnsi="Verdana"/>
          <w:color w:val="000000"/>
          <w:sz w:val="20"/>
          <w:szCs w:val="20"/>
        </w:rPr>
      </w:pPr>
      <w:r w:rsidRPr="00CA60F4">
        <w:rPr>
          <w:rFonts w:ascii="Verdana" w:hAnsi="Verdana"/>
          <w:color w:val="000000"/>
          <w:sz w:val="20"/>
          <w:szCs w:val="20"/>
        </w:rPr>
        <w:t>Integratie maatschappelijk verantwoord ondernemen in beleid en managementsystemen</w:t>
      </w:r>
    </w:p>
    <w:p w14:paraId="27351DE8" w14:textId="7AC0D418" w:rsidR="005F4642" w:rsidRPr="00CA60F4" w:rsidRDefault="005F4642" w:rsidP="009B7D4C">
      <w:pPr>
        <w:pStyle w:val="ListParagraph"/>
        <w:numPr>
          <w:ilvl w:val="0"/>
          <w:numId w:val="3"/>
        </w:numPr>
        <w:spacing w:after="0" w:line="276" w:lineRule="auto"/>
        <w:jc w:val="both"/>
        <w:rPr>
          <w:rFonts w:ascii="Verdana" w:hAnsi="Verdana"/>
          <w:color w:val="000000"/>
          <w:sz w:val="20"/>
          <w:szCs w:val="20"/>
        </w:rPr>
      </w:pPr>
      <w:r w:rsidRPr="00CA60F4">
        <w:rPr>
          <w:rFonts w:ascii="Verdana" w:hAnsi="Verdana"/>
          <w:color w:val="000000"/>
          <w:sz w:val="20"/>
          <w:szCs w:val="20"/>
        </w:rPr>
        <w:t>Identificatie en beoordeling van de risico</w:t>
      </w:r>
      <w:r w:rsidR="006612B0">
        <w:rPr>
          <w:rFonts w:ascii="Verdana" w:hAnsi="Verdana"/>
          <w:color w:val="000000"/>
          <w:sz w:val="20"/>
          <w:szCs w:val="20"/>
        </w:rPr>
        <w:t>’s</w:t>
      </w:r>
      <w:r w:rsidRPr="00CA60F4">
        <w:rPr>
          <w:rFonts w:ascii="Verdana" w:hAnsi="Verdana"/>
          <w:color w:val="000000"/>
          <w:sz w:val="20"/>
          <w:szCs w:val="20"/>
        </w:rPr>
        <w:t xml:space="preserve"> op negatieve impacts</w:t>
      </w:r>
    </w:p>
    <w:p w14:paraId="3BC91969" w14:textId="77777777" w:rsidR="005F4642" w:rsidRPr="00CA60F4" w:rsidRDefault="005F4642" w:rsidP="009B7D4C">
      <w:pPr>
        <w:pStyle w:val="ListParagraph"/>
        <w:numPr>
          <w:ilvl w:val="0"/>
          <w:numId w:val="3"/>
        </w:numPr>
        <w:spacing w:after="0" w:line="276" w:lineRule="auto"/>
        <w:jc w:val="both"/>
        <w:rPr>
          <w:rFonts w:ascii="Verdana" w:hAnsi="Verdana"/>
          <w:color w:val="000000"/>
          <w:sz w:val="20"/>
          <w:szCs w:val="20"/>
        </w:rPr>
      </w:pPr>
      <w:r w:rsidRPr="00CA60F4">
        <w:rPr>
          <w:rFonts w:ascii="Verdana" w:hAnsi="Verdana"/>
          <w:color w:val="000000"/>
          <w:sz w:val="20"/>
          <w:szCs w:val="20"/>
        </w:rPr>
        <w:t>Invloed aanwenden om potentiële negatieve impacts te voorkomen of verminderen</w:t>
      </w:r>
    </w:p>
    <w:p w14:paraId="2CE0999A" w14:textId="77777777" w:rsidR="005F4642" w:rsidRPr="00CA60F4" w:rsidRDefault="005F4642" w:rsidP="009B7D4C">
      <w:pPr>
        <w:pStyle w:val="ListParagraph"/>
        <w:numPr>
          <w:ilvl w:val="0"/>
          <w:numId w:val="3"/>
        </w:numPr>
        <w:spacing w:after="0" w:line="276" w:lineRule="auto"/>
        <w:jc w:val="both"/>
        <w:rPr>
          <w:rFonts w:ascii="Verdana" w:hAnsi="Verdana"/>
          <w:color w:val="000000"/>
          <w:sz w:val="20"/>
          <w:szCs w:val="20"/>
        </w:rPr>
      </w:pPr>
      <w:r w:rsidRPr="00CA60F4">
        <w:rPr>
          <w:rFonts w:ascii="Verdana" w:hAnsi="Verdana"/>
          <w:color w:val="000000"/>
          <w:sz w:val="20"/>
          <w:szCs w:val="20"/>
        </w:rPr>
        <w:t xml:space="preserve">Zorg voor herstel en verhaal, hieraan bijdragen of hierop aandringen </w:t>
      </w:r>
    </w:p>
    <w:p w14:paraId="3F717539" w14:textId="77777777" w:rsidR="005F4642" w:rsidRPr="00CA60F4" w:rsidRDefault="005F4642" w:rsidP="009B7D4C">
      <w:pPr>
        <w:pStyle w:val="ListParagraph"/>
        <w:numPr>
          <w:ilvl w:val="0"/>
          <w:numId w:val="3"/>
        </w:numPr>
        <w:spacing w:after="0" w:line="276" w:lineRule="auto"/>
        <w:jc w:val="both"/>
        <w:rPr>
          <w:rFonts w:ascii="Verdana" w:hAnsi="Verdana"/>
          <w:color w:val="000000"/>
          <w:sz w:val="20"/>
          <w:szCs w:val="20"/>
        </w:rPr>
      </w:pPr>
      <w:r w:rsidRPr="00CA60F4">
        <w:rPr>
          <w:rFonts w:ascii="Verdana" w:hAnsi="Verdana"/>
          <w:color w:val="000000"/>
          <w:sz w:val="20"/>
          <w:szCs w:val="20"/>
        </w:rPr>
        <w:t>Monitoring van de toepassingen en resultaten</w:t>
      </w:r>
    </w:p>
    <w:p w14:paraId="7EAAE219" w14:textId="77777777" w:rsidR="005F4642" w:rsidRPr="00CA60F4" w:rsidRDefault="005F4642" w:rsidP="009B7D4C">
      <w:pPr>
        <w:pStyle w:val="ListParagraph"/>
        <w:numPr>
          <w:ilvl w:val="0"/>
          <w:numId w:val="3"/>
        </w:numPr>
        <w:spacing w:after="0" w:line="276" w:lineRule="auto"/>
        <w:jc w:val="both"/>
        <w:rPr>
          <w:rFonts w:ascii="Verdana" w:hAnsi="Verdana"/>
          <w:color w:val="000000"/>
          <w:sz w:val="20"/>
          <w:szCs w:val="20"/>
        </w:rPr>
      </w:pPr>
      <w:r w:rsidRPr="00CA60F4">
        <w:rPr>
          <w:rFonts w:ascii="Verdana" w:hAnsi="Verdana"/>
          <w:color w:val="000000"/>
          <w:sz w:val="20"/>
          <w:szCs w:val="20"/>
        </w:rPr>
        <w:t>Communiceren/transparant zijn over de aanpak</w:t>
      </w:r>
    </w:p>
    <w:p w14:paraId="32B00B1F" w14:textId="32009C65" w:rsidR="00FA0C86" w:rsidRPr="001F57F1" w:rsidRDefault="00FA0C86" w:rsidP="009B7D4C">
      <w:pPr>
        <w:spacing w:after="0" w:line="276" w:lineRule="auto"/>
        <w:jc w:val="both"/>
        <w:rPr>
          <w:rFonts w:ascii="Verdana" w:hAnsi="Verdana"/>
          <w:sz w:val="20"/>
          <w:szCs w:val="20"/>
        </w:rPr>
      </w:pPr>
    </w:p>
    <w:p w14:paraId="4F686E8E" w14:textId="5794F795" w:rsidR="0082259D" w:rsidRPr="0082259D" w:rsidRDefault="0082259D" w:rsidP="009B7D4C">
      <w:pPr>
        <w:spacing w:after="0" w:line="276" w:lineRule="auto"/>
        <w:ind w:left="10" w:hanging="10"/>
        <w:jc w:val="both"/>
        <w:rPr>
          <w:rFonts w:ascii="Verdana" w:eastAsia="Calibri" w:hAnsi="Verdana" w:cs="Calibri"/>
          <w:color w:val="000000"/>
          <w:sz w:val="20"/>
          <w:szCs w:val="20"/>
          <w:lang w:eastAsia="nl-NL"/>
        </w:rPr>
      </w:pPr>
      <w:r w:rsidRPr="0082259D">
        <w:rPr>
          <w:rFonts w:ascii="Verdana" w:eastAsia="Calibri" w:hAnsi="Verdana" w:cs="Calibri"/>
          <w:color w:val="000000"/>
          <w:sz w:val="20"/>
          <w:szCs w:val="20"/>
          <w:lang w:eastAsia="nl-NL"/>
        </w:rPr>
        <w:t>In het kader van het IMVB convenant heeft Provisum op basis van de voorkeuren van de deelnemers (enquête september 2021) en een risico-inschatting van het bestuur een aantal thema’s per ESG-pijler gekozen die extra aandacht verdienen, te weten:</w:t>
      </w:r>
    </w:p>
    <w:p w14:paraId="74661DCA" w14:textId="77777777" w:rsidR="0082259D" w:rsidRPr="0082259D" w:rsidRDefault="0082259D" w:rsidP="009B7D4C">
      <w:pPr>
        <w:numPr>
          <w:ilvl w:val="0"/>
          <w:numId w:val="2"/>
        </w:numPr>
        <w:spacing w:after="0" w:line="276" w:lineRule="auto"/>
        <w:contextualSpacing/>
        <w:jc w:val="both"/>
        <w:rPr>
          <w:rFonts w:ascii="Verdana" w:eastAsia="Calibri" w:hAnsi="Verdana" w:cs="Calibri"/>
          <w:color w:val="000000"/>
          <w:sz w:val="20"/>
          <w:szCs w:val="20"/>
          <w:lang w:eastAsia="nl-NL"/>
        </w:rPr>
      </w:pPr>
      <w:r w:rsidRPr="0082259D">
        <w:rPr>
          <w:rFonts w:ascii="Verdana" w:eastAsia="Calibri" w:hAnsi="Verdana" w:cs="Calibri"/>
          <w:color w:val="000000"/>
          <w:sz w:val="20"/>
          <w:szCs w:val="20"/>
          <w:lang w:eastAsia="nl-NL"/>
        </w:rPr>
        <w:t xml:space="preserve">Milieu/klimaat (E): klimaat, biodiversiteit en waterkwaliteit </w:t>
      </w:r>
    </w:p>
    <w:p w14:paraId="0C91D748" w14:textId="77777777" w:rsidR="0082259D" w:rsidRPr="0082259D" w:rsidRDefault="0082259D" w:rsidP="009B7D4C">
      <w:pPr>
        <w:numPr>
          <w:ilvl w:val="0"/>
          <w:numId w:val="2"/>
        </w:numPr>
        <w:spacing w:after="0" w:line="276" w:lineRule="auto"/>
        <w:contextualSpacing/>
        <w:jc w:val="both"/>
        <w:rPr>
          <w:rFonts w:ascii="Verdana" w:eastAsia="Calibri" w:hAnsi="Verdana" w:cs="Calibri"/>
          <w:color w:val="000000"/>
          <w:sz w:val="20"/>
          <w:szCs w:val="20"/>
          <w:lang w:eastAsia="nl-NL"/>
        </w:rPr>
      </w:pPr>
      <w:r w:rsidRPr="0082259D">
        <w:rPr>
          <w:rFonts w:ascii="Verdana" w:eastAsia="Calibri" w:hAnsi="Verdana" w:cs="Calibri"/>
          <w:color w:val="000000"/>
          <w:sz w:val="20"/>
          <w:szCs w:val="20"/>
          <w:lang w:eastAsia="nl-NL"/>
        </w:rPr>
        <w:t>Sociale verhoudingen (S): veilige werkomstandigheden (incl. kinderarbeid), wapens en mensenrechten</w:t>
      </w:r>
    </w:p>
    <w:p w14:paraId="51FC933D" w14:textId="3D1D01B9" w:rsidR="0082259D" w:rsidRPr="001F57F1" w:rsidRDefault="0082259D" w:rsidP="009B7D4C">
      <w:pPr>
        <w:numPr>
          <w:ilvl w:val="0"/>
          <w:numId w:val="2"/>
        </w:numPr>
        <w:spacing w:after="0" w:line="276" w:lineRule="auto"/>
        <w:contextualSpacing/>
        <w:jc w:val="both"/>
        <w:rPr>
          <w:rFonts w:ascii="Verdana" w:eastAsia="Calibri" w:hAnsi="Verdana" w:cs="Calibri"/>
          <w:color w:val="000000"/>
          <w:sz w:val="20"/>
          <w:szCs w:val="20"/>
          <w:lang w:eastAsia="nl-NL"/>
        </w:rPr>
      </w:pPr>
      <w:r w:rsidRPr="0082259D">
        <w:rPr>
          <w:rFonts w:ascii="Verdana" w:eastAsia="Calibri" w:hAnsi="Verdana" w:cs="Calibri"/>
          <w:color w:val="000000"/>
          <w:sz w:val="20"/>
          <w:szCs w:val="20"/>
          <w:lang w:eastAsia="nl-NL"/>
        </w:rPr>
        <w:t>Ondernemingsbestuur (G): goed bestuur en corruptie</w:t>
      </w:r>
      <w:r w:rsidR="00FD5C9C" w:rsidRPr="001F57F1">
        <w:rPr>
          <w:rFonts w:ascii="Verdana" w:eastAsia="Calibri" w:hAnsi="Verdana" w:cs="Calibri"/>
          <w:color w:val="000000"/>
          <w:sz w:val="20"/>
          <w:szCs w:val="20"/>
          <w:lang w:eastAsia="nl-NL"/>
        </w:rPr>
        <w:t>.</w:t>
      </w:r>
    </w:p>
    <w:p w14:paraId="122E6B60" w14:textId="77777777" w:rsidR="004F4D09" w:rsidRDefault="004F4D09" w:rsidP="009B7D4C">
      <w:pPr>
        <w:spacing w:after="0" w:line="276" w:lineRule="auto"/>
        <w:contextualSpacing/>
        <w:jc w:val="both"/>
        <w:rPr>
          <w:rFonts w:ascii="Verdana" w:hAnsi="Verdana"/>
          <w:sz w:val="20"/>
          <w:szCs w:val="20"/>
        </w:rPr>
      </w:pPr>
    </w:p>
    <w:p w14:paraId="1CD7F5E5" w14:textId="1E49D99F" w:rsidR="00FD5C9C" w:rsidRDefault="00B16CEE" w:rsidP="009B7D4C">
      <w:pPr>
        <w:spacing w:after="0" w:line="276" w:lineRule="auto"/>
        <w:contextualSpacing/>
        <w:jc w:val="both"/>
        <w:rPr>
          <w:rFonts w:ascii="Verdana" w:hAnsi="Verdana"/>
          <w:sz w:val="20"/>
          <w:szCs w:val="20"/>
        </w:rPr>
      </w:pPr>
      <w:r w:rsidRPr="001F57F1">
        <w:rPr>
          <w:rFonts w:ascii="Verdana" w:hAnsi="Verdana"/>
          <w:sz w:val="20"/>
          <w:szCs w:val="20"/>
        </w:rPr>
        <w:t>Gezien de grote impact van klimaatverandering op de leefomgeving, de financiële risico’s die daarmee samenhangen en de relevantie van dit onderwerp voor de achterban, besteedt Provisum hier het meeste aandacht aan.</w:t>
      </w:r>
    </w:p>
    <w:p w14:paraId="37742C84" w14:textId="7EDC843D" w:rsidR="005945F0" w:rsidRPr="00AE69BF" w:rsidRDefault="005945F0" w:rsidP="009B7D4C">
      <w:pPr>
        <w:spacing w:after="0" w:line="276" w:lineRule="auto"/>
        <w:contextualSpacing/>
        <w:jc w:val="both"/>
        <w:rPr>
          <w:rFonts w:ascii="Verdana" w:hAnsi="Verdana"/>
          <w:sz w:val="20"/>
          <w:szCs w:val="20"/>
        </w:rPr>
      </w:pPr>
    </w:p>
    <w:p w14:paraId="4057C1FE" w14:textId="05638ED2" w:rsidR="00FD1DDD" w:rsidRPr="007F14E0" w:rsidRDefault="00FD1DDD" w:rsidP="009B7D4C">
      <w:pPr>
        <w:pStyle w:val="ListParagraph"/>
        <w:numPr>
          <w:ilvl w:val="0"/>
          <w:numId w:val="18"/>
        </w:numPr>
        <w:spacing w:after="0" w:line="276" w:lineRule="auto"/>
        <w:jc w:val="both"/>
        <w:rPr>
          <w:rFonts w:ascii="Verdana" w:hAnsi="Verdana"/>
          <w:color w:val="00B0F0"/>
          <w:sz w:val="24"/>
          <w:szCs w:val="24"/>
        </w:rPr>
      </w:pPr>
      <w:r w:rsidRPr="007F14E0">
        <w:rPr>
          <w:rFonts w:ascii="Verdana" w:hAnsi="Verdana"/>
          <w:color w:val="00B0F0"/>
          <w:sz w:val="24"/>
          <w:szCs w:val="24"/>
        </w:rPr>
        <w:t>Beschrijving van genomen of geplande maatregelen</w:t>
      </w:r>
      <w:r w:rsidR="00B57EAA" w:rsidRPr="007F14E0">
        <w:rPr>
          <w:rFonts w:ascii="Verdana" w:hAnsi="Verdana"/>
          <w:color w:val="00B0F0"/>
          <w:sz w:val="24"/>
          <w:szCs w:val="24"/>
        </w:rPr>
        <w:t xml:space="preserve"> om de belangrijkste ongunstige effecten te beperken</w:t>
      </w:r>
    </w:p>
    <w:p w14:paraId="48B83FAD" w14:textId="5F4A9721" w:rsidR="007D7088" w:rsidRPr="001F57F1" w:rsidRDefault="00934D4F" w:rsidP="009B7D4C">
      <w:pPr>
        <w:spacing w:after="0" w:line="276" w:lineRule="auto"/>
        <w:jc w:val="both"/>
        <w:rPr>
          <w:rFonts w:ascii="Verdana" w:hAnsi="Verdana"/>
          <w:sz w:val="20"/>
          <w:szCs w:val="20"/>
        </w:rPr>
      </w:pPr>
      <w:r w:rsidRPr="001F57F1">
        <w:rPr>
          <w:rFonts w:ascii="Verdana" w:hAnsi="Verdana"/>
          <w:sz w:val="20"/>
          <w:szCs w:val="20"/>
        </w:rPr>
        <w:t>O</w:t>
      </w:r>
      <w:r w:rsidR="00695233" w:rsidRPr="001F57F1">
        <w:rPr>
          <w:rFonts w:ascii="Verdana" w:hAnsi="Verdana"/>
          <w:sz w:val="20"/>
          <w:szCs w:val="20"/>
        </w:rPr>
        <w:t>m de kans te beperken dat Provisum belegt in ondernemingen die geen oog hebben voor de maatschappelijke impact van hun activiteiten</w:t>
      </w:r>
      <w:r w:rsidRPr="001F57F1">
        <w:rPr>
          <w:rFonts w:ascii="Verdana" w:hAnsi="Verdana"/>
          <w:sz w:val="20"/>
          <w:szCs w:val="20"/>
        </w:rPr>
        <w:t xml:space="preserve"> kijkt Provisum bij beleggingsbeslissingen</w:t>
      </w:r>
      <w:r w:rsidR="00C127BF" w:rsidRPr="001F57F1">
        <w:rPr>
          <w:rFonts w:ascii="Verdana" w:hAnsi="Verdana"/>
          <w:sz w:val="20"/>
          <w:szCs w:val="20"/>
        </w:rPr>
        <w:t xml:space="preserve"> over de gehele breedte naar milieu, sociale aspecten en het ondernemingsbestuur</w:t>
      </w:r>
      <w:r w:rsidR="00695233" w:rsidRPr="001F57F1">
        <w:rPr>
          <w:rFonts w:ascii="Verdana" w:hAnsi="Verdana"/>
          <w:sz w:val="20"/>
          <w:szCs w:val="20"/>
        </w:rPr>
        <w:t xml:space="preserve">. </w:t>
      </w:r>
      <w:r w:rsidR="00813C80" w:rsidRPr="001F57F1">
        <w:rPr>
          <w:rFonts w:ascii="Verdana" w:hAnsi="Verdana"/>
          <w:sz w:val="20"/>
          <w:szCs w:val="20"/>
        </w:rPr>
        <w:t>Het instrumentarium</w:t>
      </w:r>
      <w:r w:rsidR="00D16012" w:rsidRPr="001F57F1">
        <w:rPr>
          <w:rFonts w:ascii="Verdana" w:hAnsi="Verdana"/>
          <w:sz w:val="20"/>
          <w:szCs w:val="20"/>
        </w:rPr>
        <w:t xml:space="preserve"> dat hiervoor wordt ingezet door het fonds</w:t>
      </w:r>
      <w:r w:rsidR="001915D0">
        <w:rPr>
          <w:rFonts w:ascii="Verdana" w:hAnsi="Verdana"/>
          <w:sz w:val="20"/>
          <w:szCs w:val="20"/>
        </w:rPr>
        <w:t xml:space="preserve"> en </w:t>
      </w:r>
      <w:r w:rsidR="00C457E5" w:rsidRPr="001F57F1">
        <w:rPr>
          <w:rFonts w:ascii="Verdana" w:hAnsi="Verdana"/>
          <w:sz w:val="20"/>
          <w:szCs w:val="20"/>
        </w:rPr>
        <w:t>waar</w:t>
      </w:r>
      <w:r w:rsidR="009C7396" w:rsidRPr="001F57F1">
        <w:rPr>
          <w:rFonts w:ascii="Verdana" w:hAnsi="Verdana"/>
          <w:sz w:val="20"/>
          <w:szCs w:val="20"/>
        </w:rPr>
        <w:t>van</w:t>
      </w:r>
      <w:r w:rsidR="00C457E5" w:rsidRPr="001F57F1">
        <w:rPr>
          <w:rFonts w:ascii="Verdana" w:hAnsi="Verdana"/>
          <w:sz w:val="20"/>
          <w:szCs w:val="20"/>
        </w:rPr>
        <w:t xml:space="preserve"> de uitvoering uitbesteed </w:t>
      </w:r>
      <w:r w:rsidR="00993066">
        <w:rPr>
          <w:rFonts w:ascii="Verdana" w:hAnsi="Verdana"/>
          <w:sz w:val="20"/>
          <w:szCs w:val="20"/>
        </w:rPr>
        <w:t xml:space="preserve">is </w:t>
      </w:r>
      <w:r w:rsidR="00C457E5" w:rsidRPr="001F57F1">
        <w:rPr>
          <w:rFonts w:ascii="Verdana" w:hAnsi="Verdana"/>
          <w:sz w:val="20"/>
          <w:szCs w:val="20"/>
        </w:rPr>
        <w:t xml:space="preserve">aan </w:t>
      </w:r>
      <w:r w:rsidR="009D2BF6" w:rsidRPr="001F57F1">
        <w:rPr>
          <w:rFonts w:ascii="Verdana" w:hAnsi="Verdana"/>
          <w:sz w:val="20"/>
          <w:szCs w:val="20"/>
        </w:rPr>
        <w:t>AFAM</w:t>
      </w:r>
      <w:r w:rsidR="001915D0">
        <w:rPr>
          <w:rFonts w:ascii="Verdana" w:hAnsi="Verdana"/>
          <w:sz w:val="20"/>
          <w:szCs w:val="20"/>
        </w:rPr>
        <w:t>,</w:t>
      </w:r>
      <w:r w:rsidR="00A93E79">
        <w:rPr>
          <w:rFonts w:ascii="Verdana" w:hAnsi="Verdana"/>
          <w:sz w:val="20"/>
          <w:szCs w:val="20"/>
        </w:rPr>
        <w:t xml:space="preserve"> wordt hierna samengevat. Voor een uitgebreide beschrijving wordt verwezen naar het </w:t>
      </w:r>
      <w:hyperlink r:id="rId12" w:anchor="Beleidsdocumenten" w:history="1">
        <w:r w:rsidR="00A93E79" w:rsidRPr="004F4D09">
          <w:rPr>
            <w:rStyle w:val="Hyperlink"/>
            <w:rFonts w:ascii="Verdana" w:hAnsi="Verdana"/>
            <w:sz w:val="20"/>
            <w:szCs w:val="20"/>
          </w:rPr>
          <w:t>Beleid Maatschappelijk verantwoord beleggen</w:t>
        </w:r>
      </w:hyperlink>
      <w:r w:rsidR="00A93E79">
        <w:rPr>
          <w:rFonts w:ascii="Verdana" w:hAnsi="Verdana"/>
          <w:sz w:val="20"/>
          <w:szCs w:val="20"/>
        </w:rPr>
        <w:t>.</w:t>
      </w:r>
    </w:p>
    <w:p w14:paraId="0D2AF095" w14:textId="77777777" w:rsidR="004F4D09" w:rsidRDefault="004F4D09" w:rsidP="009B7D4C">
      <w:pPr>
        <w:spacing w:after="0" w:line="276" w:lineRule="auto"/>
        <w:jc w:val="both"/>
        <w:rPr>
          <w:rFonts w:ascii="Verdana" w:hAnsi="Verdana"/>
          <w:i/>
          <w:iCs/>
          <w:sz w:val="20"/>
          <w:szCs w:val="20"/>
        </w:rPr>
      </w:pPr>
    </w:p>
    <w:p w14:paraId="5C668FAE" w14:textId="38541809" w:rsidR="004F4D09" w:rsidRDefault="00962784" w:rsidP="009B7D4C">
      <w:pPr>
        <w:spacing w:after="0" w:line="276" w:lineRule="auto"/>
        <w:jc w:val="both"/>
        <w:rPr>
          <w:rFonts w:ascii="Verdana" w:hAnsi="Verdana"/>
          <w:i/>
          <w:iCs/>
          <w:sz w:val="20"/>
          <w:szCs w:val="20"/>
        </w:rPr>
      </w:pPr>
      <w:r w:rsidRPr="001F57F1">
        <w:rPr>
          <w:rFonts w:ascii="Verdana" w:hAnsi="Verdana"/>
          <w:i/>
          <w:iCs/>
          <w:sz w:val="20"/>
          <w:szCs w:val="20"/>
        </w:rPr>
        <w:t>Integratie</w:t>
      </w:r>
      <w:r w:rsidR="001F41B5" w:rsidRPr="001F57F1">
        <w:rPr>
          <w:rFonts w:ascii="Verdana" w:hAnsi="Verdana"/>
          <w:i/>
          <w:iCs/>
          <w:sz w:val="20"/>
          <w:szCs w:val="20"/>
        </w:rPr>
        <w:t xml:space="preserve">                                                                                                            </w:t>
      </w:r>
    </w:p>
    <w:p w14:paraId="1E600D13" w14:textId="65A2F9C0" w:rsidR="00962784" w:rsidRPr="001F57F1" w:rsidRDefault="00962784" w:rsidP="009B7D4C">
      <w:pPr>
        <w:spacing w:after="0" w:line="276" w:lineRule="auto"/>
        <w:jc w:val="both"/>
        <w:rPr>
          <w:rFonts w:ascii="Verdana" w:hAnsi="Verdana"/>
          <w:i/>
          <w:iCs/>
          <w:sz w:val="20"/>
          <w:szCs w:val="20"/>
        </w:rPr>
      </w:pPr>
      <w:r w:rsidRPr="001F57F1">
        <w:rPr>
          <w:rFonts w:ascii="Verdana" w:hAnsi="Verdana"/>
          <w:sz w:val="20"/>
          <w:szCs w:val="20"/>
        </w:rPr>
        <w:t xml:space="preserve">ESG-integratie </w:t>
      </w:r>
      <w:r w:rsidR="000C31CE" w:rsidRPr="001F57F1">
        <w:rPr>
          <w:rFonts w:ascii="Verdana" w:hAnsi="Verdana"/>
          <w:sz w:val="20"/>
          <w:szCs w:val="20"/>
        </w:rPr>
        <w:t>bij</w:t>
      </w:r>
      <w:r w:rsidRPr="001F57F1">
        <w:rPr>
          <w:rFonts w:ascii="Verdana" w:hAnsi="Verdana"/>
          <w:sz w:val="20"/>
          <w:szCs w:val="20"/>
        </w:rPr>
        <w:t xml:space="preserve"> het selecteren en monitoren van de beleggingsmanagers. AFAM voert een constante dialoog met de externe managers en hun ESG-teams om tot een verbetering te komen van ESG-integratie, uitsluitingen en rapportages. Bij de integratie wordt o.a. gebruik gemaakt van,</w:t>
      </w:r>
    </w:p>
    <w:p w14:paraId="65E25F00" w14:textId="77777777" w:rsidR="00962784" w:rsidRPr="001F57F1" w:rsidRDefault="00962784" w:rsidP="009B7D4C">
      <w:pPr>
        <w:pStyle w:val="ListParagraph"/>
        <w:numPr>
          <w:ilvl w:val="0"/>
          <w:numId w:val="3"/>
        </w:numPr>
        <w:spacing w:after="0" w:line="276" w:lineRule="auto"/>
        <w:jc w:val="both"/>
        <w:rPr>
          <w:rFonts w:ascii="Verdana" w:hAnsi="Verdana"/>
          <w:sz w:val="20"/>
          <w:szCs w:val="20"/>
        </w:rPr>
      </w:pPr>
      <w:r w:rsidRPr="001F57F1">
        <w:rPr>
          <w:rFonts w:ascii="Verdana" w:hAnsi="Verdana"/>
          <w:sz w:val="20"/>
          <w:szCs w:val="20"/>
        </w:rPr>
        <w:t>toetsingscriteria (7x) voor het verantwoord beleggingsbeleid van de beleggingsfondsen;</w:t>
      </w:r>
    </w:p>
    <w:p w14:paraId="38637FAE" w14:textId="77777777" w:rsidR="00962784" w:rsidRPr="001F57F1" w:rsidRDefault="00962784" w:rsidP="009B7D4C">
      <w:pPr>
        <w:pStyle w:val="ListParagraph"/>
        <w:numPr>
          <w:ilvl w:val="0"/>
          <w:numId w:val="3"/>
        </w:numPr>
        <w:spacing w:after="0" w:line="276" w:lineRule="auto"/>
        <w:jc w:val="both"/>
        <w:rPr>
          <w:rFonts w:ascii="Verdana" w:hAnsi="Verdana"/>
          <w:sz w:val="20"/>
          <w:szCs w:val="20"/>
        </w:rPr>
      </w:pPr>
      <w:r w:rsidRPr="001F57F1">
        <w:rPr>
          <w:rFonts w:ascii="Verdana" w:hAnsi="Verdana"/>
          <w:sz w:val="20"/>
          <w:szCs w:val="20"/>
        </w:rPr>
        <w:t>een scorecard waarmee de ESG-integratie in het beleid en strategie, in het beleggingsproces, actief aandeelhouderschap, monitoring en verslaglegging van de beleggingsfondsen in kaart wordt gebracht;</w:t>
      </w:r>
    </w:p>
    <w:p w14:paraId="5C2619A4" w14:textId="1E6833C1" w:rsidR="00962784" w:rsidRDefault="00962784" w:rsidP="009B7D4C">
      <w:pPr>
        <w:pStyle w:val="ListParagraph"/>
        <w:numPr>
          <w:ilvl w:val="0"/>
          <w:numId w:val="3"/>
        </w:numPr>
        <w:spacing w:after="0" w:line="276" w:lineRule="auto"/>
        <w:jc w:val="both"/>
        <w:rPr>
          <w:rFonts w:ascii="Verdana" w:hAnsi="Verdana"/>
          <w:sz w:val="20"/>
          <w:szCs w:val="20"/>
        </w:rPr>
      </w:pPr>
      <w:r w:rsidRPr="001F57F1">
        <w:rPr>
          <w:rFonts w:ascii="Verdana" w:hAnsi="Verdana"/>
          <w:sz w:val="20"/>
          <w:szCs w:val="20"/>
        </w:rPr>
        <w:t>classificatie van de beleggingsfondsen conform het ABC-raamwerk van het impact Management Project.</w:t>
      </w:r>
    </w:p>
    <w:p w14:paraId="1E963B32" w14:textId="77777777" w:rsidR="00F00B1B" w:rsidRPr="001F57F1" w:rsidRDefault="00F00B1B" w:rsidP="009B7D4C">
      <w:pPr>
        <w:pStyle w:val="ListParagraph"/>
        <w:spacing w:after="0" w:line="276" w:lineRule="auto"/>
        <w:jc w:val="both"/>
        <w:rPr>
          <w:rFonts w:ascii="Verdana" w:hAnsi="Verdana"/>
          <w:sz w:val="20"/>
          <w:szCs w:val="20"/>
        </w:rPr>
      </w:pPr>
    </w:p>
    <w:p w14:paraId="21645CF1" w14:textId="77777777" w:rsidR="004F4D09" w:rsidRDefault="007747BA" w:rsidP="009B7D4C">
      <w:pPr>
        <w:spacing w:after="0" w:line="276" w:lineRule="auto"/>
        <w:jc w:val="both"/>
        <w:rPr>
          <w:rFonts w:ascii="Verdana" w:hAnsi="Verdana"/>
          <w:i/>
          <w:iCs/>
          <w:sz w:val="20"/>
          <w:szCs w:val="20"/>
        </w:rPr>
      </w:pPr>
      <w:r w:rsidRPr="001F57F1">
        <w:rPr>
          <w:rFonts w:ascii="Verdana" w:hAnsi="Verdana"/>
          <w:i/>
          <w:iCs/>
          <w:sz w:val="20"/>
          <w:szCs w:val="20"/>
        </w:rPr>
        <w:t>Uitsluiten</w:t>
      </w:r>
      <w:r w:rsidR="006A1564" w:rsidRPr="001F57F1">
        <w:rPr>
          <w:rFonts w:ascii="Verdana" w:hAnsi="Verdana"/>
          <w:i/>
          <w:iCs/>
          <w:sz w:val="20"/>
          <w:szCs w:val="20"/>
        </w:rPr>
        <w:t xml:space="preserve">                                                                                                                           </w:t>
      </w:r>
    </w:p>
    <w:p w14:paraId="0899B75C" w14:textId="396160EB" w:rsidR="007747BA" w:rsidRPr="001F57F1" w:rsidRDefault="007747BA" w:rsidP="009B7D4C">
      <w:pPr>
        <w:spacing w:after="0" w:line="276" w:lineRule="auto"/>
        <w:jc w:val="both"/>
        <w:rPr>
          <w:rFonts w:ascii="Verdana" w:hAnsi="Verdana"/>
          <w:i/>
          <w:iCs/>
          <w:sz w:val="20"/>
          <w:szCs w:val="20"/>
        </w:rPr>
      </w:pPr>
      <w:r w:rsidRPr="001F57F1">
        <w:rPr>
          <w:rFonts w:ascii="Verdana" w:hAnsi="Verdana"/>
          <w:sz w:val="20"/>
          <w:szCs w:val="20"/>
        </w:rPr>
        <w:t>Het fonds sluit beleggingen uit</w:t>
      </w:r>
      <w:r w:rsidR="00CF2A03">
        <w:rPr>
          <w:rFonts w:ascii="Verdana" w:hAnsi="Verdana"/>
          <w:sz w:val="20"/>
          <w:szCs w:val="20"/>
        </w:rPr>
        <w:t>,</w:t>
      </w:r>
      <w:r w:rsidRPr="001F57F1">
        <w:rPr>
          <w:rFonts w:ascii="Verdana" w:hAnsi="Verdana"/>
          <w:sz w:val="20"/>
          <w:szCs w:val="20"/>
        </w:rPr>
        <w:t xml:space="preserve"> </w:t>
      </w:r>
    </w:p>
    <w:p w14:paraId="5066430C" w14:textId="121CFE96" w:rsidR="007747BA" w:rsidRPr="00B57EAA" w:rsidRDefault="007747BA" w:rsidP="009B7D4C">
      <w:pPr>
        <w:pStyle w:val="ListParagraph"/>
        <w:numPr>
          <w:ilvl w:val="0"/>
          <w:numId w:val="16"/>
        </w:numPr>
        <w:spacing w:after="0" w:line="276" w:lineRule="auto"/>
        <w:jc w:val="both"/>
        <w:rPr>
          <w:rFonts w:ascii="Verdana" w:hAnsi="Verdana"/>
          <w:sz w:val="20"/>
          <w:szCs w:val="20"/>
        </w:rPr>
      </w:pPr>
      <w:r w:rsidRPr="00B57EAA">
        <w:rPr>
          <w:rFonts w:ascii="Verdana" w:hAnsi="Verdana"/>
          <w:sz w:val="20"/>
          <w:szCs w:val="20"/>
        </w:rPr>
        <w:t>in ondernemingen die betrokken zijn</w:t>
      </w:r>
      <w:r w:rsidR="00856E85" w:rsidRPr="00B57EAA">
        <w:rPr>
          <w:rFonts w:ascii="Verdana" w:hAnsi="Verdana"/>
          <w:sz w:val="20"/>
          <w:szCs w:val="20"/>
        </w:rPr>
        <w:t xml:space="preserve"> </w:t>
      </w:r>
      <w:r w:rsidRPr="00B57EAA">
        <w:rPr>
          <w:rFonts w:ascii="Verdana" w:hAnsi="Verdana"/>
          <w:sz w:val="20"/>
          <w:szCs w:val="20"/>
        </w:rPr>
        <w:t>bij de productie en/of handel in controversiële wapens, tabak, pornografie, gokken, palmolie</w:t>
      </w:r>
      <w:r w:rsidR="00856E85" w:rsidRPr="00B57EAA">
        <w:rPr>
          <w:rFonts w:ascii="Verdana" w:hAnsi="Verdana"/>
          <w:sz w:val="20"/>
          <w:szCs w:val="20"/>
        </w:rPr>
        <w:t>,</w:t>
      </w:r>
      <w:r w:rsidR="009F028E" w:rsidRPr="00B57EAA">
        <w:rPr>
          <w:rFonts w:ascii="Verdana" w:hAnsi="Verdana"/>
          <w:sz w:val="20"/>
          <w:szCs w:val="20"/>
        </w:rPr>
        <w:t xml:space="preserve"> </w:t>
      </w:r>
      <w:r w:rsidR="00B75DE4" w:rsidRPr="00B57EAA">
        <w:rPr>
          <w:rFonts w:ascii="Verdana" w:hAnsi="Verdana"/>
          <w:sz w:val="20"/>
          <w:szCs w:val="20"/>
        </w:rPr>
        <w:t>enkele fossiele sectoren (</w:t>
      </w:r>
      <w:proofErr w:type="spellStart"/>
      <w:r w:rsidR="00B75DE4" w:rsidRPr="00B57EAA">
        <w:rPr>
          <w:rFonts w:ascii="Verdana" w:hAnsi="Verdana"/>
          <w:sz w:val="20"/>
          <w:szCs w:val="20"/>
        </w:rPr>
        <w:t>arctic</w:t>
      </w:r>
      <w:proofErr w:type="spellEnd"/>
      <w:r w:rsidR="00B75DE4" w:rsidRPr="00B57EAA">
        <w:rPr>
          <w:rFonts w:ascii="Verdana" w:hAnsi="Verdana"/>
          <w:sz w:val="20"/>
          <w:szCs w:val="20"/>
        </w:rPr>
        <w:t xml:space="preserve"> olie, olie uit teerzand en steenkool), </w:t>
      </w:r>
      <w:r w:rsidRPr="00B57EAA">
        <w:rPr>
          <w:rFonts w:ascii="Verdana" w:hAnsi="Verdana"/>
          <w:sz w:val="20"/>
          <w:szCs w:val="20"/>
        </w:rPr>
        <w:t>verkoop van wapens aan burgers</w:t>
      </w:r>
      <w:r w:rsidR="00B75DE4" w:rsidRPr="00B57EAA">
        <w:rPr>
          <w:rFonts w:ascii="Verdana" w:hAnsi="Verdana"/>
          <w:sz w:val="20"/>
          <w:szCs w:val="20"/>
        </w:rPr>
        <w:t xml:space="preserve"> </w:t>
      </w:r>
      <w:r w:rsidR="00856E85" w:rsidRPr="00B57EAA">
        <w:rPr>
          <w:rFonts w:ascii="Verdana" w:hAnsi="Verdana"/>
          <w:sz w:val="20"/>
          <w:szCs w:val="20"/>
        </w:rPr>
        <w:t>en</w:t>
      </w:r>
      <w:r w:rsidR="00CA7668" w:rsidRPr="00B57EAA">
        <w:rPr>
          <w:rFonts w:ascii="Verdana" w:hAnsi="Verdana"/>
          <w:sz w:val="20"/>
          <w:szCs w:val="20"/>
        </w:rPr>
        <w:t xml:space="preserve"> ondernemingen die</w:t>
      </w:r>
      <w:r w:rsidRPr="00B57EAA">
        <w:rPr>
          <w:rFonts w:ascii="Verdana" w:hAnsi="Verdana"/>
          <w:sz w:val="20"/>
          <w:szCs w:val="20"/>
        </w:rPr>
        <w:t xml:space="preserve"> op duidelijk en grove wijze </w:t>
      </w:r>
      <w:r w:rsidR="00A03DCF" w:rsidRPr="00B57EAA">
        <w:rPr>
          <w:rFonts w:ascii="Verdana" w:hAnsi="Verdana"/>
          <w:sz w:val="20"/>
          <w:szCs w:val="20"/>
        </w:rPr>
        <w:t xml:space="preserve"> </w:t>
      </w:r>
      <w:r w:rsidRPr="00B57EAA">
        <w:rPr>
          <w:rFonts w:ascii="Verdana" w:hAnsi="Verdana"/>
          <w:sz w:val="20"/>
          <w:szCs w:val="20"/>
        </w:rPr>
        <w:t>de principes van het UN Global Compact</w:t>
      </w:r>
      <w:r w:rsidR="00362281" w:rsidRPr="00B57EAA">
        <w:rPr>
          <w:rFonts w:ascii="Verdana" w:hAnsi="Verdana"/>
          <w:sz w:val="20"/>
          <w:szCs w:val="20"/>
        </w:rPr>
        <w:t xml:space="preserve"> schenden</w:t>
      </w:r>
      <w:r w:rsidRPr="00B57EAA">
        <w:rPr>
          <w:rFonts w:ascii="Verdana" w:hAnsi="Verdana"/>
          <w:sz w:val="20"/>
          <w:szCs w:val="20"/>
        </w:rPr>
        <w:t>;</w:t>
      </w:r>
    </w:p>
    <w:p w14:paraId="62BD9774" w14:textId="45E64650" w:rsidR="00F00B1B" w:rsidRPr="00B57EAA" w:rsidRDefault="007747BA" w:rsidP="009B7D4C">
      <w:pPr>
        <w:pStyle w:val="ListParagraph"/>
        <w:numPr>
          <w:ilvl w:val="0"/>
          <w:numId w:val="16"/>
        </w:numPr>
        <w:spacing w:after="0" w:line="276" w:lineRule="auto"/>
        <w:jc w:val="both"/>
        <w:rPr>
          <w:rFonts w:ascii="Verdana" w:hAnsi="Verdana"/>
          <w:sz w:val="20"/>
          <w:szCs w:val="20"/>
        </w:rPr>
      </w:pPr>
      <w:r w:rsidRPr="00B57EAA">
        <w:rPr>
          <w:rFonts w:ascii="Verdana" w:hAnsi="Verdana"/>
          <w:sz w:val="20"/>
          <w:szCs w:val="20"/>
        </w:rPr>
        <w:t>in staatsobligaties die zijn uitgegeven door landen die het onderwerp zijn van sancties van de EU tegen de centrale overheid zodanig dat er sprake is van een wapenembargo.</w:t>
      </w:r>
    </w:p>
    <w:p w14:paraId="1EF69AEB" w14:textId="77777777" w:rsidR="00271C09" w:rsidRDefault="00271C09" w:rsidP="009B7D4C">
      <w:pPr>
        <w:spacing w:after="0" w:line="276" w:lineRule="auto"/>
        <w:jc w:val="both"/>
        <w:rPr>
          <w:rFonts w:ascii="Verdana" w:hAnsi="Verdana"/>
          <w:sz w:val="20"/>
          <w:szCs w:val="20"/>
        </w:rPr>
      </w:pPr>
    </w:p>
    <w:p w14:paraId="69A77CB1" w14:textId="21323A63" w:rsidR="00497808" w:rsidRDefault="00497808" w:rsidP="009B7D4C">
      <w:pPr>
        <w:spacing w:after="0" w:line="276" w:lineRule="auto"/>
        <w:jc w:val="both"/>
        <w:rPr>
          <w:rFonts w:ascii="Verdana" w:hAnsi="Verdana"/>
          <w:sz w:val="20"/>
          <w:szCs w:val="20"/>
        </w:rPr>
      </w:pPr>
      <w:r>
        <w:rPr>
          <w:rFonts w:ascii="Verdana" w:hAnsi="Verdana"/>
          <w:sz w:val="20"/>
          <w:szCs w:val="20"/>
        </w:rPr>
        <w:t xml:space="preserve">Daarnaast voert </w:t>
      </w:r>
      <w:proofErr w:type="spellStart"/>
      <w:r>
        <w:rPr>
          <w:rFonts w:ascii="Verdana" w:hAnsi="Verdana"/>
          <w:sz w:val="20"/>
          <w:szCs w:val="20"/>
        </w:rPr>
        <w:t>Sustainalytics</w:t>
      </w:r>
      <w:proofErr w:type="spellEnd"/>
      <w:r>
        <w:rPr>
          <w:rFonts w:ascii="Verdana" w:hAnsi="Verdana"/>
          <w:sz w:val="20"/>
          <w:szCs w:val="20"/>
        </w:rPr>
        <w:t xml:space="preserve"> voor het fonds een c</w:t>
      </w:r>
      <w:r w:rsidRPr="002F4DB7">
        <w:rPr>
          <w:rFonts w:ascii="Verdana" w:hAnsi="Verdana"/>
          <w:sz w:val="20"/>
          <w:szCs w:val="20"/>
        </w:rPr>
        <w:t>ontroverse</w:t>
      </w:r>
      <w:r>
        <w:rPr>
          <w:rFonts w:ascii="Verdana" w:hAnsi="Verdana"/>
          <w:sz w:val="20"/>
          <w:szCs w:val="20"/>
        </w:rPr>
        <w:t xml:space="preserve"> </w:t>
      </w:r>
      <w:r w:rsidRPr="002F4DB7">
        <w:rPr>
          <w:rFonts w:ascii="Verdana" w:hAnsi="Verdana"/>
          <w:sz w:val="20"/>
          <w:szCs w:val="20"/>
        </w:rPr>
        <w:t xml:space="preserve">screening </w:t>
      </w:r>
      <w:r>
        <w:rPr>
          <w:rFonts w:ascii="Verdana" w:hAnsi="Verdana"/>
          <w:sz w:val="20"/>
          <w:szCs w:val="20"/>
        </w:rPr>
        <w:t>uit, de</w:t>
      </w:r>
      <w:r w:rsidRPr="002F4DB7">
        <w:rPr>
          <w:rFonts w:ascii="Verdana" w:hAnsi="Verdana"/>
          <w:sz w:val="20"/>
          <w:szCs w:val="20"/>
        </w:rPr>
        <w:t xml:space="preserve"> identific</w:t>
      </w:r>
      <w:r>
        <w:rPr>
          <w:rFonts w:ascii="Verdana" w:hAnsi="Verdana"/>
          <w:sz w:val="20"/>
          <w:szCs w:val="20"/>
        </w:rPr>
        <w:t>atie van</w:t>
      </w:r>
      <w:r w:rsidRPr="002F4DB7">
        <w:rPr>
          <w:rFonts w:ascii="Verdana" w:hAnsi="Verdana"/>
          <w:sz w:val="20"/>
          <w:szCs w:val="20"/>
        </w:rPr>
        <w:t xml:space="preserve"> ondernemingen die betrokken zijn bij  incidenten en gebeurtenissen (binnen eigen bedrijf en toeleveringsketen) die mogelijk leiden tot een ondernemings- of reputatierisico </w:t>
      </w:r>
      <w:r>
        <w:rPr>
          <w:rFonts w:ascii="Verdana" w:hAnsi="Verdana"/>
          <w:sz w:val="20"/>
          <w:szCs w:val="20"/>
        </w:rPr>
        <w:t xml:space="preserve">m.n. gericht op de </w:t>
      </w:r>
      <w:r w:rsidR="004053C0">
        <w:rPr>
          <w:rFonts w:ascii="Verdana" w:hAnsi="Verdana"/>
          <w:sz w:val="20"/>
          <w:szCs w:val="20"/>
        </w:rPr>
        <w:t>OESO-r</w:t>
      </w:r>
      <w:r w:rsidR="008A311B">
        <w:rPr>
          <w:rFonts w:ascii="Verdana" w:hAnsi="Verdana"/>
          <w:sz w:val="20"/>
          <w:szCs w:val="20"/>
        </w:rPr>
        <w:t>i</w:t>
      </w:r>
      <w:r w:rsidR="004053C0">
        <w:rPr>
          <w:rFonts w:ascii="Verdana" w:hAnsi="Verdana"/>
          <w:sz w:val="20"/>
          <w:szCs w:val="20"/>
        </w:rPr>
        <w:t>chtlijnen</w:t>
      </w:r>
      <w:r w:rsidRPr="002F4DB7">
        <w:rPr>
          <w:rFonts w:ascii="Verdana" w:hAnsi="Verdana"/>
          <w:sz w:val="20"/>
          <w:szCs w:val="20"/>
        </w:rPr>
        <w:t>.</w:t>
      </w:r>
      <w:r>
        <w:rPr>
          <w:rFonts w:ascii="Verdana" w:hAnsi="Verdana"/>
          <w:sz w:val="20"/>
          <w:szCs w:val="20"/>
        </w:rPr>
        <w:t xml:space="preserve"> Ondernemingen met de hoogste (=slechtste) van een 5 worden eveneens uitgesloten.</w:t>
      </w:r>
    </w:p>
    <w:p w14:paraId="6099205C" w14:textId="77777777" w:rsidR="00271C09" w:rsidRDefault="00271C09" w:rsidP="009B7D4C">
      <w:pPr>
        <w:spacing w:after="0" w:line="276" w:lineRule="auto"/>
        <w:jc w:val="both"/>
        <w:rPr>
          <w:rFonts w:ascii="Verdana" w:hAnsi="Verdana"/>
          <w:i/>
          <w:iCs/>
          <w:sz w:val="20"/>
          <w:szCs w:val="20"/>
        </w:rPr>
      </w:pPr>
    </w:p>
    <w:p w14:paraId="3073891D" w14:textId="77777777" w:rsidR="00271C09" w:rsidRDefault="00B31373" w:rsidP="009B7D4C">
      <w:pPr>
        <w:spacing w:after="0" w:line="276" w:lineRule="auto"/>
        <w:jc w:val="both"/>
        <w:rPr>
          <w:rFonts w:ascii="Verdana" w:hAnsi="Verdana"/>
          <w:i/>
          <w:iCs/>
          <w:sz w:val="20"/>
          <w:szCs w:val="20"/>
        </w:rPr>
      </w:pPr>
      <w:r w:rsidRPr="001F57F1">
        <w:rPr>
          <w:rFonts w:ascii="Verdana" w:hAnsi="Verdana"/>
          <w:i/>
          <w:iCs/>
          <w:sz w:val="20"/>
          <w:szCs w:val="20"/>
        </w:rPr>
        <w:t>Stemme</w:t>
      </w:r>
      <w:r w:rsidR="001F41B5" w:rsidRPr="001F57F1">
        <w:rPr>
          <w:rFonts w:ascii="Verdana" w:hAnsi="Verdana"/>
          <w:i/>
          <w:iCs/>
          <w:sz w:val="20"/>
          <w:szCs w:val="20"/>
        </w:rPr>
        <w:t xml:space="preserve">n                                                                                                                          </w:t>
      </w:r>
    </w:p>
    <w:p w14:paraId="0B3B8A45" w14:textId="2C0394BC" w:rsidR="00B31373" w:rsidRPr="00F00B1B" w:rsidRDefault="00271C09" w:rsidP="009B7D4C">
      <w:pPr>
        <w:spacing w:after="0" w:line="276" w:lineRule="auto"/>
        <w:jc w:val="both"/>
        <w:rPr>
          <w:rFonts w:ascii="Verdana" w:hAnsi="Verdana"/>
          <w:sz w:val="20"/>
          <w:szCs w:val="20"/>
        </w:rPr>
      </w:pPr>
      <w:r>
        <w:rPr>
          <w:rFonts w:ascii="Verdana" w:hAnsi="Verdana"/>
          <w:sz w:val="20"/>
          <w:szCs w:val="20"/>
        </w:rPr>
        <w:t>H</w:t>
      </w:r>
      <w:r w:rsidR="00B31373" w:rsidRPr="001F57F1">
        <w:rPr>
          <w:rFonts w:ascii="Verdana" w:hAnsi="Verdana"/>
          <w:sz w:val="20"/>
          <w:szCs w:val="20"/>
        </w:rPr>
        <w:t>et fonds maakt gebruik van haar stemrecht op aandeelhoudersvergaderingen van bedrijven waarin wordt belegd. Hierbij wordt gebruik gemaakt van het stembeleid van de beleggingsmanager</w:t>
      </w:r>
      <w:r w:rsidR="00F00B1B">
        <w:rPr>
          <w:rFonts w:ascii="Verdana" w:hAnsi="Verdana"/>
          <w:sz w:val="20"/>
          <w:szCs w:val="20"/>
        </w:rPr>
        <w:t>s</w:t>
      </w:r>
      <w:r w:rsidR="00B31373" w:rsidRPr="001F57F1">
        <w:rPr>
          <w:rFonts w:ascii="Verdana" w:hAnsi="Verdana"/>
          <w:sz w:val="20"/>
          <w:szCs w:val="20"/>
        </w:rPr>
        <w:t xml:space="preserve">, zowel bij </w:t>
      </w:r>
      <w:r w:rsidR="008E5DE3">
        <w:rPr>
          <w:rFonts w:ascii="Verdana" w:hAnsi="Verdana"/>
          <w:sz w:val="20"/>
          <w:szCs w:val="20"/>
        </w:rPr>
        <w:t xml:space="preserve">de </w:t>
      </w:r>
      <w:r w:rsidR="00B31373" w:rsidRPr="001F57F1">
        <w:rPr>
          <w:rFonts w:ascii="Verdana" w:hAnsi="Verdana"/>
          <w:sz w:val="20"/>
          <w:szCs w:val="20"/>
        </w:rPr>
        <w:t>beleggingsfondsen als bij het directe mandaat.</w:t>
      </w:r>
    </w:p>
    <w:p w14:paraId="2CD6EA92" w14:textId="77777777" w:rsidR="00271C09" w:rsidRDefault="00271C09" w:rsidP="009B7D4C">
      <w:pPr>
        <w:spacing w:after="0" w:line="276" w:lineRule="auto"/>
        <w:jc w:val="both"/>
        <w:rPr>
          <w:rFonts w:ascii="Verdana" w:hAnsi="Verdana"/>
          <w:i/>
          <w:iCs/>
          <w:sz w:val="20"/>
          <w:szCs w:val="20"/>
        </w:rPr>
      </w:pPr>
    </w:p>
    <w:p w14:paraId="16EFA4DB" w14:textId="77777777" w:rsidR="00856220" w:rsidRDefault="00B31373" w:rsidP="009B7D4C">
      <w:pPr>
        <w:spacing w:after="0" w:line="276" w:lineRule="auto"/>
        <w:jc w:val="both"/>
        <w:rPr>
          <w:rFonts w:ascii="Verdana" w:hAnsi="Verdana"/>
          <w:i/>
          <w:iCs/>
          <w:sz w:val="20"/>
          <w:szCs w:val="20"/>
        </w:rPr>
      </w:pPr>
      <w:r w:rsidRPr="001F57F1">
        <w:rPr>
          <w:rFonts w:ascii="Verdana" w:hAnsi="Verdana"/>
          <w:i/>
          <w:iCs/>
          <w:sz w:val="20"/>
          <w:szCs w:val="20"/>
        </w:rPr>
        <w:t>Engagement</w:t>
      </w:r>
      <w:r w:rsidR="008E5DE3">
        <w:rPr>
          <w:rFonts w:ascii="Verdana" w:hAnsi="Verdana"/>
          <w:i/>
          <w:iCs/>
          <w:sz w:val="20"/>
          <w:szCs w:val="20"/>
        </w:rPr>
        <w:t xml:space="preserve">                                                                                                                   </w:t>
      </w:r>
    </w:p>
    <w:p w14:paraId="01162E54" w14:textId="075BF38A" w:rsidR="00B31373" w:rsidRPr="00D40C5D" w:rsidRDefault="00DF350D" w:rsidP="009B7D4C">
      <w:pPr>
        <w:spacing w:after="0" w:line="276" w:lineRule="auto"/>
        <w:jc w:val="both"/>
        <w:rPr>
          <w:rFonts w:ascii="Verdana" w:hAnsi="Verdana"/>
          <w:i/>
          <w:iCs/>
          <w:sz w:val="20"/>
          <w:szCs w:val="20"/>
        </w:rPr>
      </w:pPr>
      <w:r w:rsidRPr="001F57F1">
        <w:rPr>
          <w:rFonts w:ascii="Verdana" w:hAnsi="Verdana"/>
          <w:sz w:val="20"/>
          <w:szCs w:val="20"/>
        </w:rPr>
        <w:t>Het fonds oefent</w:t>
      </w:r>
      <w:r w:rsidR="00096BF9" w:rsidRPr="001F57F1">
        <w:rPr>
          <w:rFonts w:ascii="Verdana" w:hAnsi="Verdana"/>
          <w:sz w:val="20"/>
          <w:szCs w:val="20"/>
        </w:rPr>
        <w:t xml:space="preserve"> invloed </w:t>
      </w:r>
      <w:r w:rsidR="00084A0A" w:rsidRPr="001F57F1">
        <w:rPr>
          <w:rFonts w:ascii="Verdana" w:hAnsi="Verdana"/>
          <w:sz w:val="20"/>
          <w:szCs w:val="20"/>
        </w:rPr>
        <w:t xml:space="preserve">uit </w:t>
      </w:r>
      <w:r w:rsidR="00096BF9" w:rsidRPr="001F57F1">
        <w:rPr>
          <w:rFonts w:ascii="Verdana" w:hAnsi="Verdana"/>
          <w:sz w:val="20"/>
          <w:szCs w:val="20"/>
        </w:rPr>
        <w:t>om duurzaamheid en goed ondernemingsbestuur te bevorderen bij de bedrijven waarin w</w:t>
      </w:r>
      <w:r w:rsidR="00084A0A" w:rsidRPr="001F57F1">
        <w:rPr>
          <w:rFonts w:ascii="Verdana" w:hAnsi="Verdana"/>
          <w:sz w:val="20"/>
          <w:szCs w:val="20"/>
        </w:rPr>
        <w:t>ordt</w:t>
      </w:r>
      <w:r w:rsidR="00096BF9" w:rsidRPr="001F57F1">
        <w:rPr>
          <w:rFonts w:ascii="Verdana" w:hAnsi="Verdana"/>
          <w:sz w:val="20"/>
          <w:szCs w:val="20"/>
        </w:rPr>
        <w:t xml:space="preserve"> beleg</w:t>
      </w:r>
      <w:r w:rsidR="00084A0A" w:rsidRPr="001F57F1">
        <w:rPr>
          <w:rFonts w:ascii="Verdana" w:hAnsi="Verdana"/>
          <w:sz w:val="20"/>
          <w:szCs w:val="20"/>
        </w:rPr>
        <w:t>d</w:t>
      </w:r>
      <w:r w:rsidR="00CC545A">
        <w:rPr>
          <w:rFonts w:ascii="Verdana" w:hAnsi="Verdana"/>
          <w:sz w:val="20"/>
          <w:szCs w:val="20"/>
        </w:rPr>
        <w:t>. Hierbij wordt gebruikt gemaa</w:t>
      </w:r>
      <w:r w:rsidR="002418C9">
        <w:rPr>
          <w:rFonts w:ascii="Verdana" w:hAnsi="Verdana"/>
          <w:sz w:val="20"/>
          <w:szCs w:val="20"/>
        </w:rPr>
        <w:t xml:space="preserve">kt van het engagementbeleid van de beleggingsmanagers als ook </w:t>
      </w:r>
      <w:r w:rsidR="008314BE">
        <w:rPr>
          <w:rFonts w:ascii="Verdana" w:hAnsi="Verdana"/>
          <w:sz w:val="20"/>
          <w:szCs w:val="20"/>
        </w:rPr>
        <w:t xml:space="preserve">via een engagementprovider, </w:t>
      </w:r>
      <w:proofErr w:type="spellStart"/>
      <w:r w:rsidR="008314BE">
        <w:rPr>
          <w:rFonts w:ascii="Verdana" w:hAnsi="Verdana"/>
          <w:sz w:val="20"/>
          <w:szCs w:val="20"/>
        </w:rPr>
        <w:t>Sustainalytics</w:t>
      </w:r>
      <w:proofErr w:type="spellEnd"/>
      <w:r w:rsidR="00386757" w:rsidRPr="001F57F1">
        <w:rPr>
          <w:rFonts w:ascii="Verdana" w:hAnsi="Verdana"/>
          <w:sz w:val="20"/>
          <w:szCs w:val="20"/>
        </w:rPr>
        <w:t xml:space="preserve">, zie </w:t>
      </w:r>
      <w:r w:rsidR="000112E5">
        <w:rPr>
          <w:rFonts w:ascii="Verdana" w:hAnsi="Verdana"/>
          <w:sz w:val="20"/>
          <w:szCs w:val="20"/>
        </w:rPr>
        <w:t xml:space="preserve">hierna </w:t>
      </w:r>
      <w:r w:rsidR="00386757" w:rsidRPr="001F57F1">
        <w:rPr>
          <w:rFonts w:ascii="Verdana" w:hAnsi="Verdana"/>
          <w:sz w:val="20"/>
          <w:szCs w:val="20"/>
        </w:rPr>
        <w:t>h</w:t>
      </w:r>
      <w:r w:rsidR="00E51D43">
        <w:rPr>
          <w:rFonts w:ascii="Verdana" w:hAnsi="Verdana"/>
          <w:sz w:val="20"/>
          <w:szCs w:val="20"/>
        </w:rPr>
        <w:t>oofdstuk</w:t>
      </w:r>
      <w:r w:rsidR="000112E5">
        <w:rPr>
          <w:rFonts w:ascii="Verdana" w:hAnsi="Verdana"/>
          <w:sz w:val="20"/>
          <w:szCs w:val="20"/>
        </w:rPr>
        <w:t xml:space="preserve"> </w:t>
      </w:r>
      <w:r w:rsidR="00B618A5">
        <w:rPr>
          <w:rFonts w:ascii="Verdana" w:hAnsi="Verdana"/>
          <w:sz w:val="20"/>
          <w:szCs w:val="20"/>
        </w:rPr>
        <w:t>6</w:t>
      </w:r>
      <w:r w:rsidR="00096BF9" w:rsidRPr="001F57F1">
        <w:rPr>
          <w:rFonts w:ascii="Verdana" w:hAnsi="Verdana"/>
          <w:sz w:val="20"/>
          <w:szCs w:val="20"/>
        </w:rPr>
        <w:t>.</w:t>
      </w:r>
    </w:p>
    <w:p w14:paraId="6433FC7A" w14:textId="77777777" w:rsidR="00856220" w:rsidRDefault="00856220" w:rsidP="009B7D4C">
      <w:pPr>
        <w:spacing w:after="0" w:line="276" w:lineRule="auto"/>
        <w:jc w:val="both"/>
        <w:rPr>
          <w:rFonts w:ascii="Verdana" w:hAnsi="Verdana"/>
          <w:i/>
          <w:iCs/>
          <w:sz w:val="20"/>
          <w:szCs w:val="20"/>
        </w:rPr>
      </w:pPr>
    </w:p>
    <w:p w14:paraId="26342D9A" w14:textId="77777777" w:rsidR="00856220" w:rsidRDefault="00B31373" w:rsidP="009B7D4C">
      <w:pPr>
        <w:spacing w:after="0" w:line="276" w:lineRule="auto"/>
        <w:jc w:val="both"/>
        <w:rPr>
          <w:rFonts w:ascii="Verdana" w:hAnsi="Verdana"/>
          <w:i/>
          <w:iCs/>
          <w:sz w:val="20"/>
          <w:szCs w:val="20"/>
        </w:rPr>
      </w:pPr>
      <w:r w:rsidRPr="001F57F1">
        <w:rPr>
          <w:rFonts w:ascii="Verdana" w:hAnsi="Verdana"/>
          <w:i/>
          <w:iCs/>
          <w:sz w:val="20"/>
          <w:szCs w:val="20"/>
        </w:rPr>
        <w:t>GRESB</w:t>
      </w:r>
      <w:r w:rsidR="00B00769" w:rsidRPr="001F57F1">
        <w:rPr>
          <w:rFonts w:ascii="Verdana" w:hAnsi="Verdana"/>
          <w:i/>
          <w:iCs/>
          <w:sz w:val="20"/>
          <w:szCs w:val="20"/>
        </w:rPr>
        <w:t xml:space="preserve">                                                                                                                                </w:t>
      </w:r>
    </w:p>
    <w:p w14:paraId="1134FA21" w14:textId="62B628C7" w:rsidR="00B31373" w:rsidRPr="001F57F1" w:rsidRDefault="00B31373" w:rsidP="009B7D4C">
      <w:pPr>
        <w:spacing w:after="0" w:line="276" w:lineRule="auto"/>
        <w:jc w:val="both"/>
        <w:rPr>
          <w:rFonts w:ascii="Verdana" w:hAnsi="Verdana"/>
          <w:i/>
          <w:iCs/>
          <w:sz w:val="20"/>
          <w:szCs w:val="20"/>
        </w:rPr>
      </w:pPr>
      <w:r w:rsidRPr="001F57F1">
        <w:rPr>
          <w:rFonts w:ascii="Verdana" w:hAnsi="Verdana"/>
          <w:sz w:val="20"/>
          <w:szCs w:val="20"/>
        </w:rPr>
        <w:t xml:space="preserve">Voor de beoordeling van de duurzaamheid van de beleggingen in indirect onroerend goed wordt gebruik gemaakt van GRESB (Global Real </w:t>
      </w:r>
      <w:proofErr w:type="spellStart"/>
      <w:r w:rsidRPr="001F57F1">
        <w:rPr>
          <w:rFonts w:ascii="Verdana" w:hAnsi="Verdana"/>
          <w:sz w:val="20"/>
          <w:szCs w:val="20"/>
        </w:rPr>
        <w:t>Estate</w:t>
      </w:r>
      <w:proofErr w:type="spellEnd"/>
      <w:r w:rsidRPr="001F57F1">
        <w:rPr>
          <w:rFonts w:ascii="Verdana" w:hAnsi="Verdana"/>
          <w:sz w:val="20"/>
          <w:szCs w:val="20"/>
        </w:rPr>
        <w:t xml:space="preserve"> </w:t>
      </w:r>
      <w:proofErr w:type="spellStart"/>
      <w:r w:rsidRPr="001F57F1">
        <w:rPr>
          <w:rFonts w:ascii="Verdana" w:hAnsi="Verdana"/>
          <w:sz w:val="20"/>
          <w:szCs w:val="20"/>
        </w:rPr>
        <w:t>Sustainability</w:t>
      </w:r>
      <w:proofErr w:type="spellEnd"/>
      <w:r w:rsidRPr="001F57F1">
        <w:rPr>
          <w:rFonts w:ascii="Verdana" w:hAnsi="Verdana"/>
          <w:sz w:val="20"/>
          <w:szCs w:val="20"/>
        </w:rPr>
        <w:t xml:space="preserve"> Benchmark). Met GRESB worden de milieu- en duurzaamheidsprestaties van (niet) ter beurze genoteerde onroerend goedbeleggingsfondsen gemeten op basis van gestandaardiseerde en gevalideerde informatie. </w:t>
      </w:r>
    </w:p>
    <w:p w14:paraId="31FF411F" w14:textId="77777777" w:rsidR="00856220" w:rsidRDefault="00856220" w:rsidP="009B7D4C">
      <w:pPr>
        <w:spacing w:after="0" w:line="276" w:lineRule="auto"/>
        <w:jc w:val="both"/>
        <w:rPr>
          <w:rFonts w:ascii="Verdana" w:hAnsi="Verdana"/>
          <w:i/>
          <w:iCs/>
          <w:sz w:val="20"/>
          <w:szCs w:val="20"/>
        </w:rPr>
      </w:pPr>
    </w:p>
    <w:p w14:paraId="263BBEA1" w14:textId="77777777" w:rsidR="00856220" w:rsidRDefault="00B31373" w:rsidP="009B7D4C">
      <w:pPr>
        <w:spacing w:after="0" w:line="276" w:lineRule="auto"/>
        <w:jc w:val="both"/>
        <w:rPr>
          <w:rFonts w:ascii="Verdana" w:hAnsi="Verdana"/>
          <w:i/>
          <w:iCs/>
          <w:sz w:val="20"/>
          <w:szCs w:val="20"/>
        </w:rPr>
      </w:pPr>
      <w:r w:rsidRPr="001F57F1">
        <w:rPr>
          <w:rFonts w:ascii="Verdana" w:hAnsi="Verdana"/>
          <w:i/>
          <w:iCs/>
          <w:sz w:val="20"/>
          <w:szCs w:val="20"/>
        </w:rPr>
        <w:t>Groene</w:t>
      </w:r>
      <w:r w:rsidR="00856220">
        <w:rPr>
          <w:rFonts w:ascii="Verdana" w:hAnsi="Verdana"/>
          <w:i/>
          <w:iCs/>
          <w:sz w:val="20"/>
          <w:szCs w:val="20"/>
        </w:rPr>
        <w:t xml:space="preserve"> </w:t>
      </w:r>
      <w:r w:rsidRPr="001F57F1">
        <w:rPr>
          <w:rFonts w:ascii="Verdana" w:hAnsi="Verdana"/>
          <w:i/>
          <w:iCs/>
          <w:sz w:val="20"/>
          <w:szCs w:val="20"/>
        </w:rPr>
        <w:t>obligaties</w:t>
      </w:r>
      <w:r w:rsidR="00B00769" w:rsidRPr="001F57F1">
        <w:rPr>
          <w:rFonts w:ascii="Verdana" w:hAnsi="Verdana"/>
          <w:i/>
          <w:iCs/>
          <w:sz w:val="20"/>
          <w:szCs w:val="20"/>
        </w:rPr>
        <w:t xml:space="preserve">                                                                                                                                  </w:t>
      </w:r>
    </w:p>
    <w:p w14:paraId="4EF0EC19" w14:textId="5234FD57" w:rsidR="00B31373" w:rsidRDefault="00B31373" w:rsidP="009B7D4C">
      <w:pPr>
        <w:spacing w:after="0" w:line="276" w:lineRule="auto"/>
        <w:jc w:val="both"/>
        <w:rPr>
          <w:rFonts w:ascii="Verdana" w:hAnsi="Verdana"/>
          <w:sz w:val="20"/>
          <w:szCs w:val="20"/>
        </w:rPr>
      </w:pPr>
      <w:r w:rsidRPr="001F57F1">
        <w:rPr>
          <w:rFonts w:ascii="Verdana" w:hAnsi="Verdana"/>
          <w:sz w:val="20"/>
          <w:szCs w:val="20"/>
        </w:rPr>
        <w:t>Het fonds belegt voor de matching portefeuille in groene obligaties.</w:t>
      </w:r>
    </w:p>
    <w:p w14:paraId="55E7D1C3" w14:textId="77777777" w:rsidR="00856220" w:rsidRPr="001F57F1" w:rsidRDefault="00856220" w:rsidP="009B7D4C">
      <w:pPr>
        <w:spacing w:after="0" w:line="276" w:lineRule="auto"/>
        <w:jc w:val="both"/>
        <w:rPr>
          <w:rFonts w:ascii="Verdana" w:hAnsi="Verdana"/>
          <w:i/>
          <w:iCs/>
          <w:sz w:val="20"/>
          <w:szCs w:val="20"/>
        </w:rPr>
      </w:pPr>
    </w:p>
    <w:p w14:paraId="43599A9E" w14:textId="77777777" w:rsidR="00856220" w:rsidRDefault="00B31373" w:rsidP="009B7D4C">
      <w:pPr>
        <w:spacing w:after="0" w:line="276" w:lineRule="auto"/>
        <w:jc w:val="both"/>
        <w:rPr>
          <w:rFonts w:ascii="Verdana" w:hAnsi="Verdana"/>
          <w:i/>
          <w:iCs/>
          <w:sz w:val="20"/>
          <w:szCs w:val="20"/>
        </w:rPr>
      </w:pPr>
      <w:r w:rsidRPr="001F57F1">
        <w:rPr>
          <w:rFonts w:ascii="Verdana" w:hAnsi="Verdana"/>
          <w:i/>
          <w:iCs/>
          <w:sz w:val="20"/>
          <w:szCs w:val="20"/>
        </w:rPr>
        <w:t>Impact beleggingen</w:t>
      </w:r>
      <w:r w:rsidR="00B00769" w:rsidRPr="001F57F1">
        <w:rPr>
          <w:rFonts w:ascii="Verdana" w:hAnsi="Verdana"/>
          <w:i/>
          <w:iCs/>
          <w:sz w:val="20"/>
          <w:szCs w:val="20"/>
        </w:rPr>
        <w:t xml:space="preserve">                                                                                               </w:t>
      </w:r>
    </w:p>
    <w:p w14:paraId="22736009" w14:textId="2CB843C4" w:rsidR="00B31373" w:rsidRDefault="00B31373" w:rsidP="009B7D4C">
      <w:pPr>
        <w:spacing w:after="0" w:line="276" w:lineRule="auto"/>
        <w:jc w:val="both"/>
        <w:rPr>
          <w:rFonts w:ascii="Verdana" w:hAnsi="Verdana"/>
          <w:sz w:val="20"/>
          <w:szCs w:val="20"/>
        </w:rPr>
      </w:pPr>
      <w:r w:rsidRPr="001F57F1">
        <w:rPr>
          <w:rFonts w:ascii="Verdana" w:hAnsi="Verdana"/>
          <w:sz w:val="20"/>
          <w:szCs w:val="20"/>
        </w:rPr>
        <w:t>Impact beleggen maakt nog geen deel uit van het instrumentarium van verantwoord beleggen van het fonds. Neemt niet weg dat de aandelenportefeuille voor een klein percentage belegd is in impact beleggingsfondsen</w:t>
      </w:r>
      <w:r w:rsidR="00C052FA">
        <w:rPr>
          <w:rFonts w:ascii="Verdana" w:hAnsi="Verdana"/>
          <w:sz w:val="20"/>
          <w:szCs w:val="20"/>
        </w:rPr>
        <w:t>.</w:t>
      </w:r>
    </w:p>
    <w:p w14:paraId="340C8E18" w14:textId="77777777" w:rsidR="00856220" w:rsidRPr="001F57F1" w:rsidRDefault="00856220" w:rsidP="009B7D4C">
      <w:pPr>
        <w:spacing w:after="0" w:line="276" w:lineRule="auto"/>
        <w:jc w:val="both"/>
        <w:rPr>
          <w:rFonts w:ascii="Verdana" w:hAnsi="Verdana"/>
          <w:sz w:val="20"/>
          <w:szCs w:val="20"/>
        </w:rPr>
      </w:pPr>
    </w:p>
    <w:p w14:paraId="0E697A6E" w14:textId="0997F27D" w:rsidR="00C01C4F" w:rsidRPr="00D36ADE" w:rsidRDefault="009547EA" w:rsidP="009B7D4C">
      <w:pPr>
        <w:pStyle w:val="ListParagraph"/>
        <w:numPr>
          <w:ilvl w:val="0"/>
          <w:numId w:val="18"/>
        </w:numPr>
        <w:spacing w:after="0" w:line="276" w:lineRule="auto"/>
        <w:jc w:val="both"/>
        <w:rPr>
          <w:rFonts w:ascii="Verdana" w:hAnsi="Verdana"/>
          <w:color w:val="00B0F0"/>
          <w:sz w:val="24"/>
          <w:szCs w:val="24"/>
        </w:rPr>
      </w:pPr>
      <w:r w:rsidRPr="00D36ADE">
        <w:rPr>
          <w:rFonts w:ascii="Verdana" w:hAnsi="Verdana"/>
          <w:color w:val="00B0F0"/>
          <w:sz w:val="24"/>
          <w:szCs w:val="24"/>
        </w:rPr>
        <w:t>Betrokkenheidsbeleid</w:t>
      </w:r>
    </w:p>
    <w:p w14:paraId="3D9D1F1C" w14:textId="60B40B07" w:rsidR="0077106C" w:rsidRDefault="00481667" w:rsidP="009B7D4C">
      <w:pPr>
        <w:spacing w:after="0" w:line="276" w:lineRule="auto"/>
        <w:jc w:val="both"/>
        <w:rPr>
          <w:rFonts w:ascii="Verdana" w:hAnsi="Verdana"/>
          <w:sz w:val="20"/>
          <w:szCs w:val="20"/>
        </w:rPr>
      </w:pPr>
      <w:r w:rsidRPr="001F57F1">
        <w:rPr>
          <w:rFonts w:ascii="Verdana" w:hAnsi="Verdana"/>
          <w:sz w:val="20"/>
          <w:szCs w:val="20"/>
        </w:rPr>
        <w:t xml:space="preserve">Het belangrijkste doel van de dialoog </w:t>
      </w:r>
      <w:r w:rsidR="000853C4" w:rsidRPr="001F57F1">
        <w:rPr>
          <w:rFonts w:ascii="Verdana" w:hAnsi="Verdana"/>
          <w:sz w:val="20"/>
          <w:szCs w:val="20"/>
        </w:rPr>
        <w:t xml:space="preserve">met de ondernemingen waarin is </w:t>
      </w:r>
      <w:r w:rsidR="00900316" w:rsidRPr="001F57F1">
        <w:rPr>
          <w:rFonts w:ascii="Verdana" w:hAnsi="Verdana"/>
          <w:sz w:val="20"/>
          <w:szCs w:val="20"/>
        </w:rPr>
        <w:t>geïnvesteerd</w:t>
      </w:r>
      <w:r w:rsidR="000853C4" w:rsidRPr="001F57F1">
        <w:rPr>
          <w:rFonts w:ascii="Verdana" w:hAnsi="Verdana"/>
          <w:sz w:val="20"/>
          <w:szCs w:val="20"/>
        </w:rPr>
        <w:t xml:space="preserve">, </w:t>
      </w:r>
      <w:r w:rsidRPr="001F57F1">
        <w:rPr>
          <w:rFonts w:ascii="Verdana" w:hAnsi="Verdana"/>
          <w:sz w:val="20"/>
          <w:szCs w:val="20"/>
        </w:rPr>
        <w:t>is om maatschappelijke problemen aan de orde te stellen en de ondernemingen aan te sporen negatieve maatschappelijke impact op te lossen.</w:t>
      </w:r>
      <w:r w:rsidR="001F6077" w:rsidRPr="001F57F1">
        <w:rPr>
          <w:rFonts w:ascii="Verdana" w:hAnsi="Verdana"/>
          <w:sz w:val="20"/>
          <w:szCs w:val="20"/>
        </w:rPr>
        <w:t xml:space="preserve"> </w:t>
      </w:r>
      <w:r w:rsidR="0077106C" w:rsidRPr="001F57F1">
        <w:rPr>
          <w:rFonts w:ascii="Verdana" w:hAnsi="Verdana"/>
          <w:sz w:val="20"/>
          <w:szCs w:val="20"/>
        </w:rPr>
        <w:t xml:space="preserve">Voor het directe </w:t>
      </w:r>
      <w:r w:rsidR="00F24045" w:rsidRPr="001F57F1">
        <w:rPr>
          <w:rFonts w:ascii="Verdana" w:hAnsi="Verdana"/>
          <w:sz w:val="20"/>
          <w:szCs w:val="20"/>
        </w:rPr>
        <w:t>aandelen</w:t>
      </w:r>
      <w:r w:rsidR="0077106C" w:rsidRPr="001F57F1">
        <w:rPr>
          <w:rFonts w:ascii="Verdana" w:hAnsi="Verdana"/>
          <w:sz w:val="20"/>
          <w:szCs w:val="20"/>
        </w:rPr>
        <w:t xml:space="preserve">mandaat heeft het fonds aansluiting gezocht bij het </w:t>
      </w:r>
      <w:r w:rsidR="00751C69">
        <w:rPr>
          <w:rFonts w:ascii="Verdana" w:hAnsi="Verdana"/>
          <w:sz w:val="20"/>
          <w:szCs w:val="20"/>
        </w:rPr>
        <w:t>stem</w:t>
      </w:r>
      <w:r w:rsidR="00AD574C">
        <w:rPr>
          <w:rFonts w:ascii="Verdana" w:hAnsi="Verdana"/>
          <w:sz w:val="20"/>
          <w:szCs w:val="20"/>
        </w:rPr>
        <w:t xml:space="preserve">-en </w:t>
      </w:r>
      <w:hyperlink r:id="rId13" w:history="1">
        <w:r w:rsidR="0077106C" w:rsidRPr="001F57F1">
          <w:rPr>
            <w:rStyle w:val="Hyperlink"/>
            <w:rFonts w:ascii="Verdana" w:hAnsi="Verdana"/>
            <w:color w:val="auto"/>
            <w:sz w:val="20"/>
            <w:szCs w:val="20"/>
            <w:u w:val="none"/>
          </w:rPr>
          <w:t>engagementbeleid van State Street</w:t>
        </w:r>
      </w:hyperlink>
      <w:r w:rsidR="009D0F3D" w:rsidRPr="001F57F1">
        <w:rPr>
          <w:rStyle w:val="Hyperlink"/>
          <w:rFonts w:ascii="Verdana" w:hAnsi="Verdana"/>
          <w:color w:val="auto"/>
          <w:sz w:val="20"/>
          <w:szCs w:val="20"/>
          <w:u w:val="none"/>
        </w:rPr>
        <w:t>.</w:t>
      </w:r>
      <w:r w:rsidR="00233518" w:rsidRPr="001F57F1">
        <w:rPr>
          <w:rStyle w:val="Hyperlink"/>
          <w:rFonts w:ascii="Verdana" w:hAnsi="Verdana"/>
          <w:color w:val="auto"/>
          <w:sz w:val="20"/>
          <w:szCs w:val="20"/>
          <w:u w:val="none"/>
        </w:rPr>
        <w:t xml:space="preserve"> </w:t>
      </w:r>
      <w:r w:rsidR="00621DE2" w:rsidRPr="001F57F1">
        <w:rPr>
          <w:rFonts w:ascii="Verdana" w:hAnsi="Verdana"/>
          <w:sz w:val="20"/>
          <w:szCs w:val="20"/>
        </w:rPr>
        <w:t xml:space="preserve">Bij de indirecte </w:t>
      </w:r>
      <w:r w:rsidR="00F24045" w:rsidRPr="001F57F1">
        <w:rPr>
          <w:rFonts w:ascii="Verdana" w:hAnsi="Verdana"/>
          <w:sz w:val="20"/>
          <w:szCs w:val="20"/>
        </w:rPr>
        <w:t>aandelen</w:t>
      </w:r>
      <w:r w:rsidR="00621DE2" w:rsidRPr="001F57F1">
        <w:rPr>
          <w:rFonts w:ascii="Verdana" w:hAnsi="Verdana"/>
          <w:sz w:val="20"/>
          <w:szCs w:val="20"/>
        </w:rPr>
        <w:t xml:space="preserve">beleggingen waarin het fonds samen met andere beleggers in een beleggingsfonds participeert, wordt aangesloten bij </w:t>
      </w:r>
      <w:r w:rsidR="00AD574C">
        <w:rPr>
          <w:rFonts w:ascii="Verdana" w:hAnsi="Verdana"/>
          <w:sz w:val="20"/>
          <w:szCs w:val="20"/>
        </w:rPr>
        <w:t xml:space="preserve">het stem- en </w:t>
      </w:r>
      <w:r w:rsidR="00621DE2" w:rsidRPr="001F57F1">
        <w:rPr>
          <w:rFonts w:ascii="Verdana" w:hAnsi="Verdana"/>
          <w:sz w:val="20"/>
          <w:szCs w:val="20"/>
        </w:rPr>
        <w:t>engagementbeleid van de beleggingsmanager</w:t>
      </w:r>
      <w:r w:rsidR="00CE489A">
        <w:rPr>
          <w:rFonts w:ascii="Verdana" w:hAnsi="Verdana"/>
          <w:sz w:val="20"/>
          <w:szCs w:val="20"/>
        </w:rPr>
        <w:t>s</w:t>
      </w:r>
      <w:r w:rsidR="00621DE2" w:rsidRPr="001F57F1">
        <w:rPr>
          <w:rFonts w:ascii="Verdana" w:hAnsi="Verdana"/>
          <w:sz w:val="20"/>
          <w:szCs w:val="20"/>
        </w:rPr>
        <w:t>.</w:t>
      </w:r>
    </w:p>
    <w:p w14:paraId="7618035A" w14:textId="77777777" w:rsidR="00856220" w:rsidRPr="001F57F1" w:rsidRDefault="00856220" w:rsidP="009B7D4C">
      <w:pPr>
        <w:spacing w:after="0" w:line="276" w:lineRule="auto"/>
        <w:jc w:val="both"/>
        <w:rPr>
          <w:rFonts w:ascii="Verdana" w:hAnsi="Verdana"/>
          <w:sz w:val="20"/>
          <w:szCs w:val="20"/>
        </w:rPr>
      </w:pPr>
    </w:p>
    <w:p w14:paraId="01DFBFC2" w14:textId="12457E8C" w:rsidR="00DA1257" w:rsidRDefault="00013DAA" w:rsidP="009B7D4C">
      <w:pPr>
        <w:spacing w:after="0" w:line="276" w:lineRule="auto"/>
        <w:jc w:val="both"/>
        <w:rPr>
          <w:rFonts w:ascii="Verdana" w:hAnsi="Verdana"/>
          <w:sz w:val="20"/>
          <w:szCs w:val="20"/>
        </w:rPr>
      </w:pPr>
      <w:r w:rsidRPr="001F57F1">
        <w:rPr>
          <w:rFonts w:ascii="Verdana" w:hAnsi="Verdana"/>
          <w:sz w:val="20"/>
          <w:szCs w:val="20"/>
        </w:rPr>
        <w:t>Provisum heeft</w:t>
      </w:r>
      <w:r w:rsidR="00D83375" w:rsidRPr="001F57F1">
        <w:rPr>
          <w:rFonts w:ascii="Verdana" w:hAnsi="Verdana"/>
          <w:sz w:val="20"/>
          <w:szCs w:val="20"/>
        </w:rPr>
        <w:t xml:space="preserve"> </w:t>
      </w:r>
      <w:r w:rsidR="00CD6EB2" w:rsidRPr="001F57F1">
        <w:rPr>
          <w:rFonts w:ascii="Verdana" w:hAnsi="Verdana"/>
          <w:sz w:val="20"/>
          <w:szCs w:val="20"/>
        </w:rPr>
        <w:t xml:space="preserve">ervoor </w:t>
      </w:r>
      <w:r w:rsidR="00D83375" w:rsidRPr="001F57F1">
        <w:rPr>
          <w:rFonts w:ascii="Verdana" w:hAnsi="Verdana"/>
          <w:sz w:val="20"/>
          <w:szCs w:val="20"/>
        </w:rPr>
        <w:t xml:space="preserve">gekozen </w:t>
      </w:r>
      <w:r w:rsidR="00CD6EB2" w:rsidRPr="001F57F1">
        <w:rPr>
          <w:rFonts w:ascii="Verdana" w:hAnsi="Verdana"/>
          <w:sz w:val="20"/>
          <w:szCs w:val="20"/>
        </w:rPr>
        <w:t xml:space="preserve">om </w:t>
      </w:r>
      <w:r w:rsidR="00D83375" w:rsidRPr="001F57F1">
        <w:rPr>
          <w:rFonts w:ascii="Verdana" w:hAnsi="Verdana"/>
          <w:sz w:val="20"/>
          <w:szCs w:val="20"/>
        </w:rPr>
        <w:t xml:space="preserve">daarnaast </w:t>
      </w:r>
      <w:r w:rsidR="00CD6EB2" w:rsidRPr="001F57F1">
        <w:rPr>
          <w:rFonts w:ascii="Verdana" w:hAnsi="Verdana"/>
          <w:sz w:val="20"/>
          <w:szCs w:val="20"/>
        </w:rPr>
        <w:t xml:space="preserve">een extra engagement provider in te zetten om de engagement activiteiten meer kracht bij te zetten en specifieker te kunnen richten op thema’s die het fonds belangrijk acht en </w:t>
      </w:r>
      <w:r w:rsidR="0040384C">
        <w:rPr>
          <w:rFonts w:ascii="Verdana" w:hAnsi="Verdana"/>
          <w:sz w:val="20"/>
          <w:szCs w:val="20"/>
        </w:rPr>
        <w:t>geric</w:t>
      </w:r>
      <w:r w:rsidR="00DA1257">
        <w:rPr>
          <w:rFonts w:ascii="Verdana" w:hAnsi="Verdana"/>
          <w:sz w:val="20"/>
          <w:szCs w:val="20"/>
        </w:rPr>
        <w:t xml:space="preserve">ht zijn </w:t>
      </w:r>
      <w:r w:rsidR="00CD6EB2" w:rsidRPr="001F57F1">
        <w:rPr>
          <w:rFonts w:ascii="Verdana" w:hAnsi="Verdana"/>
          <w:sz w:val="20"/>
          <w:szCs w:val="20"/>
        </w:rPr>
        <w:t xml:space="preserve">op ondernemingen die specifiek in de portefeuille van het fonds zitten. Deze extra engagementactiviteiten heeft het fonds via AFAM uitbesteed aan </w:t>
      </w:r>
      <w:proofErr w:type="spellStart"/>
      <w:r w:rsidR="00CD6EB2" w:rsidRPr="001F57F1">
        <w:rPr>
          <w:rFonts w:ascii="Verdana" w:hAnsi="Verdana"/>
          <w:sz w:val="20"/>
          <w:szCs w:val="20"/>
        </w:rPr>
        <w:t>Sustainalytics</w:t>
      </w:r>
      <w:proofErr w:type="spellEnd"/>
      <w:r w:rsidR="008300AD">
        <w:rPr>
          <w:rFonts w:ascii="Verdana" w:hAnsi="Verdana"/>
          <w:sz w:val="20"/>
          <w:szCs w:val="20"/>
        </w:rPr>
        <w:t>.</w:t>
      </w:r>
      <w:r w:rsidR="00F67F9C">
        <w:rPr>
          <w:rFonts w:ascii="Verdana" w:hAnsi="Verdana"/>
          <w:sz w:val="20"/>
          <w:szCs w:val="20"/>
        </w:rPr>
        <w:t xml:space="preserve"> </w:t>
      </w:r>
    </w:p>
    <w:p w14:paraId="0F14753D" w14:textId="77777777" w:rsidR="00856220" w:rsidRDefault="00856220" w:rsidP="009B7D4C">
      <w:pPr>
        <w:spacing w:after="0" w:line="276" w:lineRule="auto"/>
        <w:jc w:val="both"/>
        <w:rPr>
          <w:rFonts w:ascii="Verdana" w:hAnsi="Verdana"/>
          <w:sz w:val="20"/>
          <w:szCs w:val="20"/>
        </w:rPr>
      </w:pPr>
    </w:p>
    <w:p w14:paraId="7168D2FC" w14:textId="2CEED770" w:rsidR="00866223" w:rsidRPr="00CA60F4" w:rsidRDefault="0080749C" w:rsidP="009B7D4C">
      <w:pPr>
        <w:spacing w:after="0" w:line="276" w:lineRule="auto"/>
        <w:jc w:val="both"/>
        <w:rPr>
          <w:rFonts w:ascii="Verdana" w:hAnsi="Verdana"/>
          <w:sz w:val="20"/>
          <w:szCs w:val="20"/>
        </w:rPr>
      </w:pPr>
      <w:r>
        <w:rPr>
          <w:rFonts w:ascii="Verdana" w:hAnsi="Verdana"/>
          <w:sz w:val="20"/>
          <w:szCs w:val="20"/>
        </w:rPr>
        <w:t xml:space="preserve">Periodiek wordt de aandelenportefeuille </w:t>
      </w:r>
      <w:r w:rsidR="004053C0">
        <w:rPr>
          <w:rFonts w:ascii="Verdana" w:hAnsi="Verdana"/>
          <w:sz w:val="20"/>
          <w:szCs w:val="20"/>
        </w:rPr>
        <w:t xml:space="preserve">o.a. </w:t>
      </w:r>
      <w:r>
        <w:rPr>
          <w:rFonts w:ascii="Verdana" w:hAnsi="Verdana"/>
          <w:sz w:val="20"/>
          <w:szCs w:val="20"/>
        </w:rPr>
        <w:t xml:space="preserve">gescreend </w:t>
      </w:r>
      <w:r w:rsidR="00866223" w:rsidRPr="00CA60F4">
        <w:rPr>
          <w:rFonts w:ascii="Verdana" w:hAnsi="Verdana"/>
          <w:sz w:val="20"/>
          <w:szCs w:val="20"/>
        </w:rPr>
        <w:t xml:space="preserve"> op (potentiële) negatieve impact conform de OESO-richtlijnen. Daarbij worden de meest ernstige negatieve impacts geprioriteerd op basis van: </w:t>
      </w:r>
    </w:p>
    <w:p w14:paraId="5D72F8B1" w14:textId="77777777" w:rsidR="00866223" w:rsidRPr="00CA60F4" w:rsidRDefault="00866223" w:rsidP="009B7D4C">
      <w:pPr>
        <w:spacing w:after="0" w:line="276" w:lineRule="auto"/>
        <w:jc w:val="both"/>
        <w:rPr>
          <w:rFonts w:ascii="Verdana" w:hAnsi="Verdana"/>
          <w:sz w:val="20"/>
          <w:szCs w:val="20"/>
        </w:rPr>
      </w:pPr>
      <w:r w:rsidRPr="00CA60F4">
        <w:rPr>
          <w:rFonts w:ascii="Verdana" w:hAnsi="Verdana"/>
          <w:sz w:val="20"/>
          <w:szCs w:val="20"/>
        </w:rPr>
        <w:t xml:space="preserve">• Ernst </w:t>
      </w:r>
    </w:p>
    <w:p w14:paraId="1EBB94EA" w14:textId="77777777" w:rsidR="00866223" w:rsidRPr="00CA60F4" w:rsidRDefault="00866223" w:rsidP="009B7D4C">
      <w:pPr>
        <w:spacing w:after="0" w:line="276" w:lineRule="auto"/>
        <w:jc w:val="both"/>
        <w:rPr>
          <w:rFonts w:ascii="Verdana" w:hAnsi="Verdana"/>
          <w:sz w:val="20"/>
          <w:szCs w:val="20"/>
        </w:rPr>
      </w:pPr>
      <w:r w:rsidRPr="00CA60F4">
        <w:rPr>
          <w:rFonts w:ascii="Verdana" w:hAnsi="Verdana"/>
          <w:sz w:val="20"/>
          <w:szCs w:val="20"/>
        </w:rPr>
        <w:t xml:space="preserve">• Schaal </w:t>
      </w:r>
    </w:p>
    <w:p w14:paraId="1D4C9D17" w14:textId="77777777" w:rsidR="00866223" w:rsidRPr="00CA60F4" w:rsidRDefault="00866223" w:rsidP="009B7D4C">
      <w:pPr>
        <w:spacing w:after="0" w:line="276" w:lineRule="auto"/>
        <w:jc w:val="both"/>
        <w:rPr>
          <w:rFonts w:ascii="Verdana" w:hAnsi="Verdana"/>
          <w:sz w:val="20"/>
          <w:szCs w:val="20"/>
        </w:rPr>
      </w:pPr>
      <w:r w:rsidRPr="00CA60F4">
        <w:rPr>
          <w:rFonts w:ascii="Verdana" w:hAnsi="Verdana"/>
          <w:sz w:val="20"/>
          <w:szCs w:val="20"/>
        </w:rPr>
        <w:t>• Onomkeerbaarheid.</w:t>
      </w:r>
    </w:p>
    <w:p w14:paraId="6C3E5915" w14:textId="77777777" w:rsidR="00856220" w:rsidRDefault="00856220" w:rsidP="009B7D4C">
      <w:pPr>
        <w:spacing w:after="0" w:line="276" w:lineRule="auto"/>
        <w:jc w:val="both"/>
        <w:rPr>
          <w:rFonts w:ascii="Verdana" w:hAnsi="Verdana"/>
          <w:sz w:val="20"/>
          <w:szCs w:val="20"/>
        </w:rPr>
      </w:pPr>
    </w:p>
    <w:p w14:paraId="1F334B28" w14:textId="1EE2575D" w:rsidR="00866223" w:rsidRDefault="00866223" w:rsidP="009B7D4C">
      <w:pPr>
        <w:spacing w:after="0" w:line="276" w:lineRule="auto"/>
        <w:jc w:val="both"/>
        <w:rPr>
          <w:rFonts w:ascii="Verdana" w:hAnsi="Verdana"/>
          <w:sz w:val="20"/>
          <w:szCs w:val="20"/>
        </w:rPr>
      </w:pPr>
      <w:r w:rsidRPr="00CA60F4">
        <w:rPr>
          <w:rFonts w:ascii="Verdana" w:hAnsi="Verdana"/>
          <w:sz w:val="20"/>
          <w:szCs w:val="20"/>
        </w:rPr>
        <w:t xml:space="preserve">Tevens wordt de mate van waarschijnlijkheid meegewogen. Wanneer ondernemingen in de beleggingsportefeuille (potentieel) negatieve impact veroorzaken gebruikt </w:t>
      </w:r>
      <w:proofErr w:type="spellStart"/>
      <w:r w:rsidRPr="00CA60F4">
        <w:rPr>
          <w:rFonts w:ascii="Verdana" w:hAnsi="Verdana"/>
          <w:sz w:val="20"/>
          <w:szCs w:val="20"/>
        </w:rPr>
        <w:t>Sustainalytics</w:t>
      </w:r>
      <w:proofErr w:type="spellEnd"/>
      <w:r w:rsidRPr="00CA60F4">
        <w:rPr>
          <w:rFonts w:ascii="Verdana" w:hAnsi="Verdana"/>
          <w:sz w:val="20"/>
          <w:szCs w:val="20"/>
        </w:rPr>
        <w:t xml:space="preserve"> haar invloed om deze impact te voorkomen en/of te mitigeren en herstel en/of verhaal mogelijk te maken middels engagement. In het uiterste geval wordt besloten om te desinvesteren en een bedrijf uit te sluiten. Waar het fonds is belegd in beleggingsfondsen is dit echter niet mogelijk omdat Provisum in een beleggingsfonds is belegd met andere beleggers.</w:t>
      </w:r>
    </w:p>
    <w:p w14:paraId="401FFB56" w14:textId="77777777" w:rsidR="00856220" w:rsidRDefault="00856220" w:rsidP="009B7D4C">
      <w:pPr>
        <w:spacing w:after="0" w:line="276" w:lineRule="auto"/>
        <w:jc w:val="both"/>
        <w:rPr>
          <w:rFonts w:ascii="Verdana" w:hAnsi="Verdana"/>
          <w:sz w:val="20"/>
          <w:szCs w:val="20"/>
        </w:rPr>
      </w:pPr>
    </w:p>
    <w:p w14:paraId="73B48212" w14:textId="2EEC73B7" w:rsidR="00DA2E3D" w:rsidRPr="00CA60F4" w:rsidRDefault="00DA2E3D" w:rsidP="009B7D4C">
      <w:pPr>
        <w:spacing w:after="0" w:line="276" w:lineRule="auto"/>
        <w:jc w:val="both"/>
        <w:rPr>
          <w:rFonts w:ascii="Verdana" w:hAnsi="Verdana"/>
          <w:sz w:val="20"/>
          <w:szCs w:val="20"/>
        </w:rPr>
      </w:pPr>
      <w:r w:rsidRPr="00CA60F4">
        <w:rPr>
          <w:rFonts w:ascii="Verdana" w:hAnsi="Verdana"/>
          <w:sz w:val="20"/>
          <w:szCs w:val="20"/>
        </w:rPr>
        <w:t xml:space="preserve">Provisum heeft drie engagementprogramma's omarmd: </w:t>
      </w:r>
    </w:p>
    <w:p w14:paraId="6EEED237" w14:textId="5BF9D466" w:rsidR="00DA2E3D" w:rsidRPr="002F4DB7" w:rsidRDefault="00DA2E3D" w:rsidP="009B7D4C">
      <w:pPr>
        <w:pStyle w:val="ListParagraph"/>
        <w:numPr>
          <w:ilvl w:val="0"/>
          <w:numId w:val="10"/>
        </w:numPr>
        <w:spacing w:after="0" w:line="276" w:lineRule="auto"/>
        <w:jc w:val="both"/>
        <w:rPr>
          <w:rFonts w:ascii="Verdana" w:hAnsi="Verdana"/>
          <w:sz w:val="20"/>
          <w:szCs w:val="20"/>
        </w:rPr>
      </w:pPr>
      <w:r w:rsidRPr="002F4DB7">
        <w:rPr>
          <w:rFonts w:ascii="Verdana" w:hAnsi="Verdana"/>
          <w:sz w:val="20"/>
          <w:szCs w:val="20"/>
        </w:rPr>
        <w:t xml:space="preserve">Global Standards-engagement – dit betreft gesprekken met bedrijven over de negatieve impact en mogelijke of daadwerkelijke schendingen van de Global Compact-normen van de VN en de thematische hoofdstukken van de OSEO-richtlijnen. </w:t>
      </w:r>
    </w:p>
    <w:p w14:paraId="5B03748D" w14:textId="77750178" w:rsidR="00DA2E3D" w:rsidRPr="002F4DB7" w:rsidRDefault="00DA2E3D" w:rsidP="009B7D4C">
      <w:pPr>
        <w:pStyle w:val="ListParagraph"/>
        <w:numPr>
          <w:ilvl w:val="0"/>
          <w:numId w:val="10"/>
        </w:numPr>
        <w:spacing w:after="0" w:line="276" w:lineRule="auto"/>
        <w:jc w:val="both"/>
        <w:rPr>
          <w:rFonts w:ascii="Verdana" w:hAnsi="Verdana"/>
          <w:sz w:val="20"/>
          <w:szCs w:val="20"/>
        </w:rPr>
      </w:pPr>
      <w:r w:rsidRPr="002F4DB7">
        <w:rPr>
          <w:rFonts w:ascii="Verdana" w:hAnsi="Verdana"/>
          <w:sz w:val="20"/>
          <w:szCs w:val="20"/>
        </w:rPr>
        <w:t xml:space="preserve">Engagement met betrekking tot materiële risico's – gericht op hoog risico bedrijven wat betreft alle ESG-onderwerpen. </w:t>
      </w:r>
    </w:p>
    <w:p w14:paraId="2E9B26B5" w14:textId="7B772E33" w:rsidR="00DA2E3D" w:rsidRPr="002F4DB7" w:rsidRDefault="00DA2E3D" w:rsidP="009B7D4C">
      <w:pPr>
        <w:pStyle w:val="ListParagraph"/>
        <w:numPr>
          <w:ilvl w:val="0"/>
          <w:numId w:val="10"/>
        </w:numPr>
        <w:spacing w:after="0" w:line="276" w:lineRule="auto"/>
        <w:jc w:val="both"/>
        <w:rPr>
          <w:rFonts w:ascii="Verdana" w:hAnsi="Verdana"/>
          <w:sz w:val="20"/>
          <w:szCs w:val="20"/>
        </w:rPr>
      </w:pPr>
      <w:r w:rsidRPr="002F4DB7">
        <w:rPr>
          <w:rFonts w:ascii="Verdana" w:hAnsi="Verdana"/>
          <w:sz w:val="20"/>
          <w:szCs w:val="20"/>
        </w:rPr>
        <w:t xml:space="preserve">Thematische engagementprogramma's – gericht op het verbeteren van de impact van bedrijven middels engagement en op specifieke thema's. Er zijn zes thema’s geselecteerd. </w:t>
      </w:r>
    </w:p>
    <w:p w14:paraId="525686E1" w14:textId="77777777" w:rsidR="009B7D4C" w:rsidRDefault="009B7D4C" w:rsidP="009B7D4C">
      <w:pPr>
        <w:spacing w:after="0" w:line="276" w:lineRule="auto"/>
        <w:ind w:right="1"/>
        <w:jc w:val="both"/>
        <w:rPr>
          <w:rFonts w:ascii="Verdana" w:hAnsi="Verdana"/>
          <w:sz w:val="20"/>
          <w:szCs w:val="20"/>
        </w:rPr>
      </w:pPr>
    </w:p>
    <w:p w14:paraId="3EB3DE23" w14:textId="0722850A" w:rsidR="00BA622E" w:rsidRPr="001F57F1" w:rsidRDefault="00D955F5" w:rsidP="009B7D4C">
      <w:pPr>
        <w:spacing w:after="0" w:line="276" w:lineRule="auto"/>
        <w:ind w:right="1"/>
        <w:jc w:val="both"/>
        <w:rPr>
          <w:rFonts w:ascii="Verdana" w:eastAsia="Calibri" w:hAnsi="Verdana" w:cs="Calibri"/>
          <w:sz w:val="20"/>
          <w:szCs w:val="20"/>
          <w:lang w:eastAsia="nl-NL"/>
        </w:rPr>
      </w:pPr>
      <w:r w:rsidRPr="001F57F1">
        <w:rPr>
          <w:rFonts w:ascii="Verdana" w:hAnsi="Verdana"/>
          <w:sz w:val="20"/>
          <w:szCs w:val="20"/>
        </w:rPr>
        <w:t xml:space="preserve">Voor </w:t>
      </w:r>
      <w:r w:rsidR="00BA622E" w:rsidRPr="001F57F1">
        <w:rPr>
          <w:rFonts w:ascii="Verdana" w:hAnsi="Verdana"/>
          <w:sz w:val="20"/>
          <w:szCs w:val="20"/>
        </w:rPr>
        <w:t xml:space="preserve">het  betrokkenheidsbeleid in het kader van </w:t>
      </w:r>
      <w:r w:rsidR="00BA622E" w:rsidRPr="001F57F1">
        <w:rPr>
          <w:rFonts w:ascii="Verdana" w:eastAsia="Calibri" w:hAnsi="Verdana" w:cs="Calibri"/>
          <w:sz w:val="20"/>
          <w:szCs w:val="20"/>
          <w:lang w:eastAsia="nl-NL"/>
        </w:rPr>
        <w:t xml:space="preserve">de </w:t>
      </w:r>
      <w:proofErr w:type="spellStart"/>
      <w:r w:rsidR="00BA622E" w:rsidRPr="001F57F1">
        <w:rPr>
          <w:rFonts w:ascii="Verdana" w:eastAsia="Calibri" w:hAnsi="Verdana" w:cs="Calibri"/>
          <w:sz w:val="20"/>
          <w:szCs w:val="20"/>
          <w:lang w:eastAsia="nl-NL"/>
        </w:rPr>
        <w:t>Shareholders</w:t>
      </w:r>
      <w:proofErr w:type="spellEnd"/>
      <w:r w:rsidR="00BA622E" w:rsidRPr="001F57F1">
        <w:rPr>
          <w:rFonts w:ascii="Verdana" w:eastAsia="Calibri" w:hAnsi="Verdana" w:cs="Calibri"/>
          <w:sz w:val="20"/>
          <w:szCs w:val="20"/>
          <w:lang w:eastAsia="nl-NL"/>
        </w:rPr>
        <w:t xml:space="preserve"> </w:t>
      </w:r>
      <w:proofErr w:type="spellStart"/>
      <w:r w:rsidR="00BA622E" w:rsidRPr="001F57F1">
        <w:rPr>
          <w:rFonts w:ascii="Verdana" w:eastAsia="Calibri" w:hAnsi="Verdana" w:cs="Calibri"/>
          <w:sz w:val="20"/>
          <w:szCs w:val="20"/>
          <w:lang w:eastAsia="nl-NL"/>
        </w:rPr>
        <w:t>Rights</w:t>
      </w:r>
      <w:proofErr w:type="spellEnd"/>
      <w:r w:rsidR="00BA622E" w:rsidRPr="001F57F1">
        <w:rPr>
          <w:rFonts w:ascii="Verdana" w:eastAsia="Calibri" w:hAnsi="Verdana" w:cs="Calibri"/>
          <w:sz w:val="20"/>
          <w:szCs w:val="20"/>
          <w:lang w:eastAsia="nl-NL"/>
        </w:rPr>
        <w:t xml:space="preserve"> Directive II</w:t>
      </w:r>
    </w:p>
    <w:p w14:paraId="3D76C32C" w14:textId="593D7593" w:rsidR="004E53CE" w:rsidRDefault="00E85697" w:rsidP="009B7D4C">
      <w:pPr>
        <w:spacing w:after="0" w:line="276" w:lineRule="auto"/>
        <w:jc w:val="both"/>
        <w:rPr>
          <w:rFonts w:ascii="Verdana" w:eastAsia="Times New Roman" w:hAnsi="Verdana" w:cs="Arial"/>
          <w:sz w:val="20"/>
          <w:szCs w:val="20"/>
        </w:rPr>
      </w:pPr>
      <w:r w:rsidRPr="001F57F1">
        <w:rPr>
          <w:rFonts w:ascii="Verdana" w:eastAsia="Times New Roman" w:hAnsi="Verdana" w:cs="Arial"/>
          <w:sz w:val="20"/>
          <w:szCs w:val="20"/>
        </w:rPr>
        <w:t>w</w:t>
      </w:r>
      <w:r w:rsidR="00AD2EE0" w:rsidRPr="001F57F1">
        <w:rPr>
          <w:rFonts w:ascii="Verdana" w:eastAsia="Times New Roman" w:hAnsi="Verdana" w:cs="Arial"/>
          <w:sz w:val="20"/>
          <w:szCs w:val="20"/>
        </w:rPr>
        <w:t xml:space="preserve">ordt verwezen naar het </w:t>
      </w:r>
      <w:hyperlink r:id="rId14" w:anchor="Beleidsdocumenten" w:history="1">
        <w:r w:rsidR="00BA622E" w:rsidRPr="009B7D4C">
          <w:rPr>
            <w:rStyle w:val="Hyperlink"/>
            <w:rFonts w:ascii="Verdana" w:eastAsia="Times New Roman" w:hAnsi="Verdana" w:cs="Arial"/>
            <w:sz w:val="20"/>
            <w:szCs w:val="20"/>
          </w:rPr>
          <w:t>Betrokkenheidsbeleid</w:t>
        </w:r>
        <w:r w:rsidR="004C5B5D" w:rsidRPr="009B7D4C">
          <w:rPr>
            <w:rStyle w:val="Hyperlink"/>
            <w:rFonts w:ascii="Verdana" w:eastAsia="Times New Roman" w:hAnsi="Verdana" w:cs="Arial"/>
            <w:sz w:val="20"/>
            <w:szCs w:val="20"/>
          </w:rPr>
          <w:t xml:space="preserve"> van het fonds</w:t>
        </w:r>
      </w:hyperlink>
      <w:r w:rsidR="009B7D4C">
        <w:rPr>
          <w:rFonts w:ascii="Verdana" w:eastAsia="Times New Roman" w:hAnsi="Verdana" w:cs="Arial"/>
          <w:sz w:val="20"/>
          <w:szCs w:val="20"/>
        </w:rPr>
        <w:t>.</w:t>
      </w:r>
    </w:p>
    <w:p w14:paraId="57476BF4" w14:textId="6A056055" w:rsidR="00F56A28" w:rsidRDefault="00F56A28" w:rsidP="009B7D4C">
      <w:pPr>
        <w:spacing w:after="0" w:line="276" w:lineRule="auto"/>
        <w:jc w:val="both"/>
        <w:rPr>
          <w:rFonts w:ascii="Verdana" w:eastAsia="Times New Roman" w:hAnsi="Verdana" w:cs="Arial"/>
          <w:sz w:val="20"/>
          <w:szCs w:val="20"/>
        </w:rPr>
      </w:pPr>
    </w:p>
    <w:p w14:paraId="4C5269ED" w14:textId="53F41C7B" w:rsidR="00F56A28" w:rsidRPr="00892852" w:rsidRDefault="00F56A28" w:rsidP="009B7D4C">
      <w:pPr>
        <w:pStyle w:val="ListParagraph"/>
        <w:numPr>
          <w:ilvl w:val="0"/>
          <w:numId w:val="18"/>
        </w:numPr>
        <w:spacing w:after="0" w:line="276" w:lineRule="auto"/>
        <w:jc w:val="both"/>
        <w:rPr>
          <w:rFonts w:ascii="Verdana" w:hAnsi="Verdana"/>
          <w:color w:val="00B0F0"/>
          <w:sz w:val="24"/>
          <w:szCs w:val="24"/>
        </w:rPr>
      </w:pPr>
      <w:r w:rsidRPr="00892852">
        <w:rPr>
          <w:rFonts w:ascii="Verdana" w:hAnsi="Verdana"/>
          <w:color w:val="00B0F0"/>
          <w:sz w:val="24"/>
          <w:szCs w:val="24"/>
        </w:rPr>
        <w:t>Transparantie over beloningsbelei</w:t>
      </w:r>
      <w:r w:rsidR="00AA3125" w:rsidRPr="00892852">
        <w:rPr>
          <w:rFonts w:ascii="Verdana" w:hAnsi="Verdana"/>
          <w:color w:val="00B0F0"/>
          <w:sz w:val="24"/>
          <w:szCs w:val="24"/>
        </w:rPr>
        <w:t>d</w:t>
      </w:r>
    </w:p>
    <w:p w14:paraId="2B886D78" w14:textId="030248FD" w:rsidR="00AA3125" w:rsidRPr="00AA3125" w:rsidRDefault="00AA3125" w:rsidP="009B7D4C">
      <w:pPr>
        <w:spacing w:after="0" w:line="276" w:lineRule="auto"/>
        <w:jc w:val="both"/>
        <w:rPr>
          <w:rFonts w:ascii="Verdana" w:hAnsi="Verdana"/>
          <w:color w:val="00B0F0"/>
          <w:sz w:val="20"/>
          <w:szCs w:val="20"/>
        </w:rPr>
      </w:pPr>
      <w:r w:rsidRPr="00AA3125">
        <w:rPr>
          <w:rFonts w:ascii="Verdana" w:hAnsi="Verdana"/>
          <w:sz w:val="20"/>
          <w:szCs w:val="20"/>
        </w:rPr>
        <w:t>Provisum voert een beloningsbeleid dat bijdraagt aan het voorkomen van (de schijn van) belangenverstrengeling, het voorkomen van het nemen van onaanvaardbare of ongewenste risico’s, waaronder duurzaamheidsrisico’s. De beloning is onafhankelijk van het rendement van de beleggingsportefeuille. De afwegingen van eventuele duurzaamheidsrisico’s worden daardoor niet beïnvloed door het beloningsbeleid van  bestuurders of medewerkers. De actuele informatie over het beloningsbeleid is beschikbaar op</w:t>
      </w:r>
      <w:r w:rsidR="00CA5608">
        <w:rPr>
          <w:rFonts w:ascii="Verdana" w:hAnsi="Verdana"/>
          <w:sz w:val="20"/>
          <w:szCs w:val="20"/>
        </w:rPr>
        <w:t xml:space="preserve"> de </w:t>
      </w:r>
      <w:hyperlink r:id="rId15" w:anchor="Beleidsdocumenten" w:history="1">
        <w:r w:rsidR="00CA5608" w:rsidRPr="00CA5608">
          <w:rPr>
            <w:rStyle w:val="Hyperlink"/>
            <w:rFonts w:ascii="Verdana" w:hAnsi="Verdana"/>
            <w:sz w:val="20"/>
            <w:szCs w:val="20"/>
          </w:rPr>
          <w:t>website van Provisum</w:t>
        </w:r>
      </w:hyperlink>
      <w:r w:rsidRPr="00AA3125">
        <w:rPr>
          <w:rFonts w:ascii="Verdana" w:hAnsi="Verdana"/>
          <w:sz w:val="20"/>
          <w:szCs w:val="20"/>
        </w:rPr>
        <w:t>.</w:t>
      </w:r>
    </w:p>
    <w:p w14:paraId="6B4D7DE9" w14:textId="77777777" w:rsidR="00F56A28" w:rsidRPr="001F57F1" w:rsidRDefault="00F56A28" w:rsidP="009B7D4C">
      <w:pPr>
        <w:spacing w:after="0" w:line="276" w:lineRule="auto"/>
        <w:jc w:val="both"/>
        <w:rPr>
          <w:rFonts w:ascii="Verdana" w:eastAsia="Times New Roman" w:hAnsi="Verdana" w:cs="Arial"/>
          <w:sz w:val="20"/>
          <w:szCs w:val="20"/>
        </w:rPr>
      </w:pPr>
    </w:p>
    <w:p w14:paraId="466AC8BA" w14:textId="2AB9FE55" w:rsidR="00974083" w:rsidRPr="00892852" w:rsidRDefault="00974083" w:rsidP="009B7D4C">
      <w:pPr>
        <w:pStyle w:val="ListParagraph"/>
        <w:numPr>
          <w:ilvl w:val="0"/>
          <w:numId w:val="18"/>
        </w:numPr>
        <w:spacing w:after="0" w:line="276" w:lineRule="auto"/>
        <w:jc w:val="both"/>
        <w:rPr>
          <w:rFonts w:ascii="Verdana" w:eastAsia="Times New Roman" w:hAnsi="Verdana" w:cs="Arial"/>
          <w:color w:val="00B0F0"/>
          <w:sz w:val="24"/>
          <w:szCs w:val="24"/>
        </w:rPr>
      </w:pPr>
      <w:r w:rsidRPr="00892852">
        <w:rPr>
          <w:rFonts w:ascii="Verdana" w:hAnsi="Verdana"/>
          <w:color w:val="00B0F0"/>
          <w:sz w:val="24"/>
          <w:szCs w:val="24"/>
        </w:rPr>
        <w:t>Naleving van gedragscodes en internationaal erkende normen voor verantwoord ondernemen</w:t>
      </w:r>
    </w:p>
    <w:p w14:paraId="4E98E840" w14:textId="0E0EAC9E" w:rsidR="00AC3B1F" w:rsidRPr="001F57F1" w:rsidRDefault="00C75573" w:rsidP="009B7D4C">
      <w:pPr>
        <w:spacing w:after="0" w:line="276" w:lineRule="auto"/>
        <w:jc w:val="both"/>
        <w:rPr>
          <w:rFonts w:ascii="Verdana" w:hAnsi="Verdana"/>
          <w:sz w:val="20"/>
          <w:szCs w:val="20"/>
        </w:rPr>
      </w:pPr>
      <w:r w:rsidRPr="001F57F1">
        <w:rPr>
          <w:rFonts w:ascii="Verdana" w:hAnsi="Verdana"/>
          <w:sz w:val="20"/>
          <w:szCs w:val="20"/>
        </w:rPr>
        <w:t xml:space="preserve">Provisum verbindt zich aan de volgende verantwoord beleggen gerelateerde codes, principes en internationaal erkende standaarden voor </w:t>
      </w:r>
      <w:proofErr w:type="spellStart"/>
      <w:r w:rsidRPr="001F57F1">
        <w:rPr>
          <w:rFonts w:ascii="Verdana" w:hAnsi="Verdana"/>
          <w:sz w:val="20"/>
          <w:szCs w:val="20"/>
        </w:rPr>
        <w:t>due</w:t>
      </w:r>
      <w:proofErr w:type="spellEnd"/>
      <w:r w:rsidRPr="001F57F1">
        <w:rPr>
          <w:rFonts w:ascii="Verdana" w:hAnsi="Verdana"/>
          <w:sz w:val="20"/>
          <w:szCs w:val="20"/>
        </w:rPr>
        <w:t xml:space="preserve"> diligence en verslaglegging: </w:t>
      </w:r>
    </w:p>
    <w:p w14:paraId="6400EB2F" w14:textId="77777777" w:rsidR="00557A7A" w:rsidRPr="001F57F1" w:rsidRDefault="00557A7A" w:rsidP="009B7D4C">
      <w:pPr>
        <w:spacing w:after="0" w:line="276" w:lineRule="auto"/>
        <w:jc w:val="both"/>
        <w:rPr>
          <w:rFonts w:ascii="Verdana" w:hAnsi="Verdana"/>
          <w:sz w:val="20"/>
          <w:szCs w:val="20"/>
        </w:rPr>
      </w:pPr>
    </w:p>
    <w:p w14:paraId="285D8BE9" w14:textId="5A505562" w:rsidR="00EA23C7" w:rsidRPr="008A311B" w:rsidRDefault="00C75573" w:rsidP="009B7D4C">
      <w:pPr>
        <w:pStyle w:val="ListParagraph"/>
        <w:numPr>
          <w:ilvl w:val="0"/>
          <w:numId w:val="12"/>
        </w:numPr>
        <w:spacing w:after="0" w:line="276" w:lineRule="auto"/>
        <w:jc w:val="both"/>
        <w:rPr>
          <w:rFonts w:ascii="Verdana" w:hAnsi="Verdana"/>
          <w:sz w:val="20"/>
          <w:szCs w:val="20"/>
        </w:rPr>
      </w:pPr>
      <w:r w:rsidRPr="008A311B">
        <w:rPr>
          <w:rFonts w:ascii="Verdana" w:hAnsi="Verdana"/>
          <w:sz w:val="20"/>
          <w:szCs w:val="20"/>
        </w:rPr>
        <w:t>Convenant Internationaal Maatschappelijk Verantwoord Beleggen Pensioenfondsen (IMVB-Convenant)</w:t>
      </w:r>
      <w:r w:rsidR="00EA23C7" w:rsidRPr="008A311B">
        <w:rPr>
          <w:rFonts w:ascii="Verdana" w:hAnsi="Verdana"/>
          <w:sz w:val="20"/>
          <w:szCs w:val="20"/>
        </w:rPr>
        <w:t>; Provisum</w:t>
      </w:r>
      <w:r w:rsidRPr="008A311B">
        <w:rPr>
          <w:rFonts w:ascii="Verdana" w:hAnsi="Verdana"/>
          <w:sz w:val="20"/>
          <w:szCs w:val="20"/>
        </w:rPr>
        <w:t xml:space="preserve"> is ondertekenaar van het IMVB-Convenant en voldoet aan de afspraken van het Convenant</w:t>
      </w:r>
      <w:r w:rsidR="00724368" w:rsidRPr="008A311B">
        <w:rPr>
          <w:rFonts w:ascii="Verdana" w:hAnsi="Verdana"/>
          <w:sz w:val="20"/>
          <w:szCs w:val="20"/>
        </w:rPr>
        <w:t>,</w:t>
      </w:r>
    </w:p>
    <w:p w14:paraId="10CCCC43" w14:textId="31BA8F83" w:rsidR="00F433BE" w:rsidRPr="008A311B" w:rsidRDefault="00C75573" w:rsidP="009B7D4C">
      <w:pPr>
        <w:pStyle w:val="ListParagraph"/>
        <w:numPr>
          <w:ilvl w:val="0"/>
          <w:numId w:val="12"/>
        </w:numPr>
        <w:spacing w:after="0" w:line="276" w:lineRule="auto"/>
        <w:jc w:val="both"/>
        <w:rPr>
          <w:rFonts w:ascii="Verdana" w:hAnsi="Verdana"/>
          <w:sz w:val="20"/>
          <w:szCs w:val="20"/>
        </w:rPr>
      </w:pPr>
      <w:r w:rsidRPr="008A311B">
        <w:rPr>
          <w:rFonts w:ascii="Verdana" w:hAnsi="Verdana"/>
          <w:sz w:val="20"/>
          <w:szCs w:val="20"/>
        </w:rPr>
        <w:t xml:space="preserve">OESO-richtlijnen voor multinationale ondernemingen De OESO-richtlijnen voor multinationale ondernemingen vormen mede de basis van </w:t>
      </w:r>
      <w:proofErr w:type="spellStart"/>
      <w:r w:rsidR="00EA23C7" w:rsidRPr="008A311B">
        <w:rPr>
          <w:rFonts w:ascii="Verdana" w:hAnsi="Verdana"/>
          <w:sz w:val="20"/>
          <w:szCs w:val="20"/>
        </w:rPr>
        <w:t>Provisum</w:t>
      </w:r>
      <w:r w:rsidRPr="008A311B">
        <w:rPr>
          <w:rFonts w:ascii="Verdana" w:hAnsi="Verdana"/>
          <w:sz w:val="20"/>
          <w:szCs w:val="20"/>
        </w:rPr>
        <w:t>’s</w:t>
      </w:r>
      <w:proofErr w:type="spellEnd"/>
      <w:r w:rsidRPr="008A311B">
        <w:rPr>
          <w:rFonts w:ascii="Verdana" w:hAnsi="Verdana"/>
          <w:sz w:val="20"/>
          <w:szCs w:val="20"/>
        </w:rPr>
        <w:t xml:space="preserve"> Beleid </w:t>
      </w:r>
      <w:r w:rsidR="003E2BEB" w:rsidRPr="008A311B">
        <w:rPr>
          <w:rFonts w:ascii="Verdana" w:hAnsi="Verdana"/>
          <w:sz w:val="20"/>
          <w:szCs w:val="20"/>
        </w:rPr>
        <w:t>Maatsc</w:t>
      </w:r>
      <w:r w:rsidR="001C14A6" w:rsidRPr="008A311B">
        <w:rPr>
          <w:rFonts w:ascii="Verdana" w:hAnsi="Verdana"/>
          <w:sz w:val="20"/>
          <w:szCs w:val="20"/>
        </w:rPr>
        <w:t>happelijk</w:t>
      </w:r>
      <w:r w:rsidRPr="008A311B">
        <w:rPr>
          <w:rFonts w:ascii="Verdana" w:hAnsi="Verdana"/>
          <w:sz w:val="20"/>
          <w:szCs w:val="20"/>
        </w:rPr>
        <w:t xml:space="preserve"> </w:t>
      </w:r>
      <w:r w:rsidR="001C14A6" w:rsidRPr="008A311B">
        <w:rPr>
          <w:rFonts w:ascii="Verdana" w:hAnsi="Verdana"/>
          <w:sz w:val="20"/>
          <w:szCs w:val="20"/>
        </w:rPr>
        <w:t>v</w:t>
      </w:r>
      <w:r w:rsidRPr="008A311B">
        <w:rPr>
          <w:rFonts w:ascii="Verdana" w:hAnsi="Verdana"/>
          <w:sz w:val="20"/>
          <w:szCs w:val="20"/>
        </w:rPr>
        <w:t xml:space="preserve">erantwoord </w:t>
      </w:r>
      <w:r w:rsidR="001C14A6" w:rsidRPr="008A311B">
        <w:rPr>
          <w:rFonts w:ascii="Verdana" w:hAnsi="Verdana"/>
          <w:sz w:val="20"/>
          <w:szCs w:val="20"/>
        </w:rPr>
        <w:t>b</w:t>
      </w:r>
      <w:r w:rsidRPr="008A311B">
        <w:rPr>
          <w:rFonts w:ascii="Verdana" w:hAnsi="Verdana"/>
          <w:sz w:val="20"/>
          <w:szCs w:val="20"/>
        </w:rPr>
        <w:t>eleggen</w:t>
      </w:r>
      <w:r w:rsidR="00724368" w:rsidRPr="008A311B">
        <w:rPr>
          <w:rFonts w:ascii="Verdana" w:hAnsi="Verdana"/>
          <w:sz w:val="20"/>
          <w:szCs w:val="20"/>
        </w:rPr>
        <w:t>;</w:t>
      </w:r>
      <w:r w:rsidRPr="008A311B">
        <w:rPr>
          <w:rFonts w:ascii="Verdana" w:hAnsi="Verdana"/>
          <w:sz w:val="20"/>
          <w:szCs w:val="20"/>
        </w:rPr>
        <w:t xml:space="preserve"> </w:t>
      </w:r>
    </w:p>
    <w:p w14:paraId="6E22A8B7" w14:textId="3E1D5C07" w:rsidR="00F6375F" w:rsidRPr="00F6375F" w:rsidRDefault="00C75573" w:rsidP="009B7D4C">
      <w:pPr>
        <w:pStyle w:val="ListParagraph"/>
        <w:numPr>
          <w:ilvl w:val="0"/>
          <w:numId w:val="15"/>
        </w:numPr>
        <w:spacing w:after="0" w:line="276" w:lineRule="auto"/>
        <w:jc w:val="both"/>
        <w:rPr>
          <w:rFonts w:ascii="Verdana" w:hAnsi="Verdana"/>
          <w:sz w:val="20"/>
          <w:szCs w:val="20"/>
        </w:rPr>
      </w:pPr>
      <w:r w:rsidRPr="00F6375F">
        <w:rPr>
          <w:rFonts w:ascii="Verdana" w:hAnsi="Verdana"/>
          <w:sz w:val="20"/>
          <w:szCs w:val="20"/>
          <w:lang w:val="en-GB"/>
        </w:rPr>
        <w:t>UN Guiding Principles on Business and Human Rights</w:t>
      </w:r>
      <w:r w:rsidR="001C14A6" w:rsidRPr="00F6375F">
        <w:rPr>
          <w:rFonts w:ascii="Verdana" w:hAnsi="Verdana"/>
          <w:sz w:val="20"/>
          <w:szCs w:val="20"/>
          <w:lang w:val="en-GB"/>
        </w:rPr>
        <w:t xml:space="preserve">. Het fonds </w:t>
      </w:r>
      <w:proofErr w:type="spellStart"/>
      <w:r w:rsidRPr="00F6375F">
        <w:rPr>
          <w:rFonts w:ascii="Verdana" w:hAnsi="Verdana"/>
          <w:sz w:val="20"/>
          <w:szCs w:val="20"/>
          <w:lang w:val="en-GB"/>
        </w:rPr>
        <w:t>ondersteunt</w:t>
      </w:r>
      <w:proofErr w:type="spellEnd"/>
      <w:r w:rsidRPr="00F6375F">
        <w:rPr>
          <w:rFonts w:ascii="Verdana" w:hAnsi="Verdana"/>
          <w:sz w:val="20"/>
          <w:szCs w:val="20"/>
          <w:lang w:val="en-GB"/>
        </w:rPr>
        <w:t xml:space="preserve"> de UN Guiding Principles on Business and Human Rights (Princip</w:t>
      </w:r>
      <w:r w:rsidR="00F6375F">
        <w:rPr>
          <w:rFonts w:ascii="Verdana" w:hAnsi="Verdana"/>
          <w:sz w:val="20"/>
          <w:szCs w:val="20"/>
          <w:lang w:val="en-GB"/>
        </w:rPr>
        <w:t>l</w:t>
      </w:r>
      <w:r w:rsidRPr="00F6375F">
        <w:rPr>
          <w:rFonts w:ascii="Verdana" w:hAnsi="Verdana"/>
          <w:sz w:val="20"/>
          <w:szCs w:val="20"/>
          <w:lang w:val="en-GB"/>
        </w:rPr>
        <w:t xml:space="preserve">es). </w:t>
      </w:r>
      <w:r w:rsidRPr="00F6375F">
        <w:rPr>
          <w:rFonts w:ascii="Verdana" w:hAnsi="Verdana"/>
          <w:sz w:val="20"/>
          <w:szCs w:val="20"/>
        </w:rPr>
        <w:t xml:space="preserve">Deze </w:t>
      </w:r>
      <w:r w:rsidR="00F6375F">
        <w:rPr>
          <w:rFonts w:ascii="Verdana" w:hAnsi="Verdana"/>
          <w:sz w:val="20"/>
          <w:szCs w:val="20"/>
        </w:rPr>
        <w:t>p</w:t>
      </w:r>
      <w:r w:rsidRPr="00F6375F">
        <w:rPr>
          <w:rFonts w:ascii="Verdana" w:hAnsi="Verdana"/>
          <w:sz w:val="20"/>
          <w:szCs w:val="20"/>
        </w:rPr>
        <w:t xml:space="preserve">rincipes vormen mede de basis van </w:t>
      </w:r>
      <w:proofErr w:type="spellStart"/>
      <w:r w:rsidR="00F433BE" w:rsidRPr="00F6375F">
        <w:rPr>
          <w:rFonts w:ascii="Verdana" w:hAnsi="Verdana"/>
          <w:sz w:val="20"/>
          <w:szCs w:val="20"/>
        </w:rPr>
        <w:t>Provisum’s</w:t>
      </w:r>
      <w:proofErr w:type="spellEnd"/>
      <w:r w:rsidR="00F433BE" w:rsidRPr="00F6375F">
        <w:rPr>
          <w:rFonts w:ascii="Verdana" w:hAnsi="Verdana"/>
          <w:sz w:val="20"/>
          <w:szCs w:val="20"/>
        </w:rPr>
        <w:t xml:space="preserve"> </w:t>
      </w:r>
      <w:r w:rsidRPr="00F6375F">
        <w:rPr>
          <w:rFonts w:ascii="Verdana" w:hAnsi="Verdana"/>
          <w:sz w:val="20"/>
          <w:szCs w:val="20"/>
        </w:rPr>
        <w:t xml:space="preserve">Beleid voor </w:t>
      </w:r>
      <w:r w:rsidR="00724368" w:rsidRPr="00F6375F">
        <w:rPr>
          <w:rFonts w:ascii="Verdana" w:hAnsi="Verdana"/>
          <w:sz w:val="20"/>
          <w:szCs w:val="20"/>
        </w:rPr>
        <w:t>Maatschappelijk v</w:t>
      </w:r>
      <w:r w:rsidRPr="00F6375F">
        <w:rPr>
          <w:rFonts w:ascii="Verdana" w:hAnsi="Verdana"/>
          <w:sz w:val="20"/>
          <w:szCs w:val="20"/>
        </w:rPr>
        <w:t xml:space="preserve">erantwoord </w:t>
      </w:r>
      <w:r w:rsidR="00724368" w:rsidRPr="00F6375F">
        <w:rPr>
          <w:rFonts w:ascii="Verdana" w:hAnsi="Verdana"/>
          <w:sz w:val="20"/>
          <w:szCs w:val="20"/>
        </w:rPr>
        <w:t>b</w:t>
      </w:r>
      <w:r w:rsidRPr="00F6375F">
        <w:rPr>
          <w:rFonts w:ascii="Verdana" w:hAnsi="Verdana"/>
          <w:sz w:val="20"/>
          <w:szCs w:val="20"/>
        </w:rPr>
        <w:t>eleggen</w:t>
      </w:r>
      <w:r w:rsidR="00724368" w:rsidRPr="00F6375F">
        <w:rPr>
          <w:rFonts w:ascii="Verdana" w:hAnsi="Verdana"/>
          <w:sz w:val="20"/>
          <w:szCs w:val="20"/>
        </w:rPr>
        <w:t>.</w:t>
      </w:r>
      <w:r w:rsidRPr="00F6375F">
        <w:rPr>
          <w:rFonts w:ascii="Verdana" w:hAnsi="Verdana"/>
          <w:sz w:val="20"/>
          <w:szCs w:val="20"/>
        </w:rPr>
        <w:t xml:space="preserve"> </w:t>
      </w:r>
    </w:p>
    <w:p w14:paraId="108959BB" w14:textId="4D24B694" w:rsidR="00EA6C9A" w:rsidRPr="009B7D4C" w:rsidRDefault="00332D1A" w:rsidP="009B7D4C">
      <w:pPr>
        <w:pStyle w:val="ListParagraph"/>
        <w:numPr>
          <w:ilvl w:val="0"/>
          <w:numId w:val="15"/>
        </w:numPr>
        <w:spacing w:after="0" w:line="276" w:lineRule="auto"/>
        <w:jc w:val="both"/>
        <w:rPr>
          <w:rFonts w:ascii="Verdana" w:hAnsi="Verdana"/>
          <w:color w:val="000000"/>
          <w:sz w:val="20"/>
          <w:szCs w:val="20"/>
          <w:lang w:val="en-GB"/>
        </w:rPr>
      </w:pPr>
      <w:r w:rsidRPr="009B7D4C">
        <w:rPr>
          <w:rFonts w:ascii="Verdana" w:hAnsi="Verdana"/>
          <w:sz w:val="20"/>
          <w:szCs w:val="20"/>
          <w:lang w:val="en-GB"/>
        </w:rPr>
        <w:t>Global Real Estate Sustainability Benchmark (GRESB)</w:t>
      </w:r>
      <w:r w:rsidR="00F6375F" w:rsidRPr="009B7D4C">
        <w:rPr>
          <w:rFonts w:ascii="Verdana" w:hAnsi="Verdana"/>
          <w:sz w:val="20"/>
          <w:szCs w:val="20"/>
          <w:lang w:val="en-GB"/>
        </w:rPr>
        <w:t>.</w:t>
      </w:r>
    </w:p>
    <w:p w14:paraId="3190FA76" w14:textId="77777777" w:rsidR="009B7D4C" w:rsidRPr="009B7D4C" w:rsidRDefault="009B7D4C" w:rsidP="009B7D4C">
      <w:pPr>
        <w:pStyle w:val="ListParagraph"/>
        <w:spacing w:after="0" w:line="276" w:lineRule="auto"/>
        <w:jc w:val="both"/>
        <w:rPr>
          <w:rFonts w:ascii="Verdana" w:hAnsi="Verdana"/>
          <w:color w:val="000000"/>
          <w:sz w:val="20"/>
          <w:szCs w:val="20"/>
          <w:lang w:val="en-GB"/>
        </w:rPr>
      </w:pPr>
    </w:p>
    <w:p w14:paraId="35124ED4" w14:textId="5890095A" w:rsidR="00F6375F" w:rsidRPr="00892852" w:rsidRDefault="00AD61D9" w:rsidP="009B7D4C">
      <w:pPr>
        <w:pStyle w:val="ListParagraph"/>
        <w:numPr>
          <w:ilvl w:val="0"/>
          <w:numId w:val="18"/>
        </w:numPr>
        <w:spacing w:after="0" w:line="276" w:lineRule="auto"/>
        <w:jc w:val="both"/>
        <w:rPr>
          <w:rFonts w:ascii="Verdana" w:hAnsi="Verdana"/>
          <w:color w:val="00B0F0"/>
          <w:sz w:val="24"/>
          <w:szCs w:val="24"/>
        </w:rPr>
      </w:pPr>
      <w:r w:rsidRPr="00892852">
        <w:rPr>
          <w:rFonts w:ascii="Verdana" w:hAnsi="Verdana"/>
          <w:color w:val="00B0F0"/>
          <w:sz w:val="24"/>
          <w:szCs w:val="24"/>
        </w:rPr>
        <w:t xml:space="preserve">Historische vergelijking  </w:t>
      </w:r>
    </w:p>
    <w:p w14:paraId="558B527C" w14:textId="09CE5E29" w:rsidR="00360DCD" w:rsidRPr="00F6375F" w:rsidRDefault="00F6375F" w:rsidP="009B7D4C">
      <w:pPr>
        <w:pStyle w:val="NormalWeb"/>
        <w:spacing w:before="0" w:beforeAutospacing="0" w:after="0" w:afterAutospacing="0" w:line="276" w:lineRule="auto"/>
        <w:jc w:val="both"/>
        <w:rPr>
          <w:rFonts w:ascii="Verdana" w:hAnsi="Verdana"/>
          <w:sz w:val="20"/>
          <w:szCs w:val="20"/>
        </w:rPr>
      </w:pPr>
      <w:r>
        <w:rPr>
          <w:rFonts w:ascii="Verdana" w:hAnsi="Verdana"/>
          <w:sz w:val="20"/>
          <w:szCs w:val="20"/>
        </w:rPr>
        <w:t xml:space="preserve">Provisum </w:t>
      </w:r>
      <w:r w:rsidR="00B57EAA">
        <w:rPr>
          <w:rFonts w:ascii="Verdana" w:hAnsi="Verdana"/>
          <w:sz w:val="20"/>
          <w:szCs w:val="20"/>
        </w:rPr>
        <w:t xml:space="preserve">zal </w:t>
      </w:r>
      <w:r>
        <w:rPr>
          <w:rFonts w:ascii="Verdana" w:hAnsi="Verdana"/>
          <w:sz w:val="20"/>
          <w:szCs w:val="20"/>
        </w:rPr>
        <w:t xml:space="preserve">voor het eerst voor </w:t>
      </w:r>
      <w:r w:rsidR="00CB0D0F" w:rsidRPr="00CB0D0F">
        <w:rPr>
          <w:rFonts w:ascii="Verdana" w:hAnsi="Verdana"/>
          <w:sz w:val="20"/>
          <w:szCs w:val="20"/>
        </w:rPr>
        <w:t>1 j</w:t>
      </w:r>
      <w:r>
        <w:rPr>
          <w:rFonts w:ascii="Verdana" w:hAnsi="Verdana"/>
          <w:sz w:val="20"/>
          <w:szCs w:val="20"/>
        </w:rPr>
        <w:t>uli</w:t>
      </w:r>
      <w:r w:rsidR="00CB0D0F" w:rsidRPr="00CB0D0F">
        <w:rPr>
          <w:rFonts w:ascii="Verdana" w:hAnsi="Verdana"/>
          <w:sz w:val="20"/>
          <w:szCs w:val="20"/>
        </w:rPr>
        <w:t xml:space="preserve"> </w:t>
      </w:r>
      <w:r w:rsidR="00CB0D0F">
        <w:rPr>
          <w:rFonts w:ascii="Verdana" w:hAnsi="Verdana"/>
          <w:sz w:val="20"/>
          <w:szCs w:val="20"/>
        </w:rPr>
        <w:t xml:space="preserve">2024 </w:t>
      </w:r>
      <w:r>
        <w:rPr>
          <w:rFonts w:ascii="Verdana" w:hAnsi="Verdana"/>
          <w:sz w:val="20"/>
          <w:szCs w:val="20"/>
        </w:rPr>
        <w:t>over de PAI</w:t>
      </w:r>
      <w:r w:rsidR="00CB0D0F" w:rsidRPr="00CB0D0F">
        <w:rPr>
          <w:rFonts w:ascii="Verdana" w:hAnsi="Verdana"/>
          <w:sz w:val="20"/>
          <w:szCs w:val="20"/>
        </w:rPr>
        <w:t>-i</w:t>
      </w:r>
      <w:r w:rsidR="00CB0D0F" w:rsidRPr="00F6375F">
        <w:rPr>
          <w:rFonts w:ascii="Verdana" w:hAnsi="Verdana"/>
          <w:sz w:val="20"/>
          <w:szCs w:val="20"/>
        </w:rPr>
        <w:t>n</w:t>
      </w:r>
      <w:r w:rsidR="00CB0D0F">
        <w:rPr>
          <w:rFonts w:ascii="Verdana" w:hAnsi="Verdana"/>
          <w:sz w:val="20"/>
          <w:szCs w:val="20"/>
        </w:rPr>
        <w:t>dicatoren rapporteren</w:t>
      </w:r>
      <w:r>
        <w:rPr>
          <w:rFonts w:ascii="Verdana" w:hAnsi="Verdana"/>
          <w:sz w:val="20"/>
          <w:szCs w:val="20"/>
        </w:rPr>
        <w:t>.</w:t>
      </w:r>
    </w:p>
    <w:sectPr w:rsidR="00360DCD" w:rsidRPr="00F6375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3174" w14:textId="77777777" w:rsidR="007B1429" w:rsidRDefault="007B1429" w:rsidP="003928FC">
      <w:pPr>
        <w:spacing w:after="0" w:line="240" w:lineRule="auto"/>
      </w:pPr>
      <w:r>
        <w:separator/>
      </w:r>
    </w:p>
  </w:endnote>
  <w:endnote w:type="continuationSeparator" w:id="0">
    <w:p w14:paraId="6E260F3D" w14:textId="77777777" w:rsidR="007B1429" w:rsidRDefault="007B1429" w:rsidP="0039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45329"/>
      <w:docPartObj>
        <w:docPartGallery w:val="Page Numbers (Bottom of Page)"/>
        <w:docPartUnique/>
      </w:docPartObj>
    </w:sdtPr>
    <w:sdtEndPr>
      <w:rPr>
        <w:rFonts w:ascii="Verdana" w:hAnsi="Verdana"/>
        <w:sz w:val="16"/>
        <w:szCs w:val="16"/>
      </w:rPr>
    </w:sdtEndPr>
    <w:sdtContent>
      <w:p w14:paraId="55489802" w14:textId="3F3115A1" w:rsidR="003928FC" w:rsidRPr="000C53FA" w:rsidRDefault="003928FC">
        <w:pPr>
          <w:pStyle w:val="Footer"/>
          <w:jc w:val="right"/>
          <w:rPr>
            <w:rFonts w:ascii="Verdana" w:hAnsi="Verdana"/>
            <w:sz w:val="16"/>
            <w:szCs w:val="16"/>
          </w:rPr>
        </w:pPr>
        <w:r w:rsidRPr="000C53FA">
          <w:rPr>
            <w:rFonts w:ascii="Verdana" w:hAnsi="Verdana"/>
            <w:sz w:val="16"/>
            <w:szCs w:val="16"/>
          </w:rPr>
          <w:fldChar w:fldCharType="begin"/>
        </w:r>
        <w:r w:rsidRPr="000C53FA">
          <w:rPr>
            <w:rFonts w:ascii="Verdana" w:hAnsi="Verdana"/>
            <w:sz w:val="16"/>
            <w:szCs w:val="16"/>
          </w:rPr>
          <w:instrText>PAGE   \* MERGEFORMAT</w:instrText>
        </w:r>
        <w:r w:rsidRPr="000C53FA">
          <w:rPr>
            <w:rFonts w:ascii="Verdana" w:hAnsi="Verdana"/>
            <w:sz w:val="16"/>
            <w:szCs w:val="16"/>
          </w:rPr>
          <w:fldChar w:fldCharType="separate"/>
        </w:r>
        <w:r w:rsidRPr="000C53FA">
          <w:rPr>
            <w:rFonts w:ascii="Verdana" w:hAnsi="Verdana"/>
            <w:sz w:val="16"/>
            <w:szCs w:val="16"/>
          </w:rPr>
          <w:t>2</w:t>
        </w:r>
        <w:r w:rsidRPr="000C53FA">
          <w:rPr>
            <w:rFonts w:ascii="Verdana" w:hAnsi="Verdana"/>
            <w:sz w:val="16"/>
            <w:szCs w:val="16"/>
          </w:rPr>
          <w:fldChar w:fldCharType="end"/>
        </w:r>
      </w:p>
    </w:sdtContent>
  </w:sdt>
  <w:p w14:paraId="09266629" w14:textId="77777777" w:rsidR="003928FC" w:rsidRDefault="0039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9436" w14:textId="77777777" w:rsidR="007B1429" w:rsidRDefault="007B1429" w:rsidP="003928FC">
      <w:pPr>
        <w:spacing w:after="0" w:line="240" w:lineRule="auto"/>
      </w:pPr>
      <w:r>
        <w:separator/>
      </w:r>
    </w:p>
  </w:footnote>
  <w:footnote w:type="continuationSeparator" w:id="0">
    <w:p w14:paraId="74AB83D6" w14:textId="77777777" w:rsidR="007B1429" w:rsidRDefault="007B1429" w:rsidP="00392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0792" w14:textId="01760A1D" w:rsidR="003928FC" w:rsidRDefault="003928FC">
    <w:pPr>
      <w:pStyle w:val="Header"/>
      <w:jc w:val="right"/>
    </w:pPr>
  </w:p>
  <w:p w14:paraId="402FC1B0" w14:textId="77777777" w:rsidR="003928FC" w:rsidRDefault="0039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46C"/>
    <w:multiLevelType w:val="hybridMultilevel"/>
    <w:tmpl w:val="AAC4AD36"/>
    <w:lvl w:ilvl="0" w:tplc="54080B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7A201D"/>
    <w:multiLevelType w:val="hybridMultilevel"/>
    <w:tmpl w:val="6FD83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1117F4"/>
    <w:multiLevelType w:val="hybridMultilevel"/>
    <w:tmpl w:val="76065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FE1DEE"/>
    <w:multiLevelType w:val="hybridMultilevel"/>
    <w:tmpl w:val="D0222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9A591B"/>
    <w:multiLevelType w:val="hybridMultilevel"/>
    <w:tmpl w:val="BECC38C8"/>
    <w:lvl w:ilvl="0" w:tplc="5AD8A2A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0A13E82"/>
    <w:multiLevelType w:val="hybridMultilevel"/>
    <w:tmpl w:val="55B80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A0E84"/>
    <w:multiLevelType w:val="hybridMultilevel"/>
    <w:tmpl w:val="9FB09028"/>
    <w:lvl w:ilvl="0" w:tplc="749A9D5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BC707E"/>
    <w:multiLevelType w:val="hybridMultilevel"/>
    <w:tmpl w:val="6CD0D15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12119C"/>
    <w:multiLevelType w:val="hybridMultilevel"/>
    <w:tmpl w:val="7C08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B50850"/>
    <w:multiLevelType w:val="hybridMultilevel"/>
    <w:tmpl w:val="08F28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5004BEB"/>
    <w:multiLevelType w:val="hybridMultilevel"/>
    <w:tmpl w:val="627C8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A3F122F"/>
    <w:multiLevelType w:val="hybridMultilevel"/>
    <w:tmpl w:val="85EC5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722CAE"/>
    <w:multiLevelType w:val="hybridMultilevel"/>
    <w:tmpl w:val="AA54D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E90877"/>
    <w:multiLevelType w:val="hybridMultilevel"/>
    <w:tmpl w:val="C600745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953ECC"/>
    <w:multiLevelType w:val="hybridMultilevel"/>
    <w:tmpl w:val="C45EB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A8F23FF"/>
    <w:multiLevelType w:val="hybridMultilevel"/>
    <w:tmpl w:val="45C64798"/>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DF65AF"/>
    <w:multiLevelType w:val="hybridMultilevel"/>
    <w:tmpl w:val="1B96CB02"/>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CA47FAE"/>
    <w:multiLevelType w:val="hybridMultilevel"/>
    <w:tmpl w:val="8AA08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71077002">
    <w:abstractNumId w:val="0"/>
  </w:num>
  <w:num w:numId="2" w16cid:durableId="745148782">
    <w:abstractNumId w:val="5"/>
  </w:num>
  <w:num w:numId="3" w16cid:durableId="1489788239">
    <w:abstractNumId w:val="6"/>
  </w:num>
  <w:num w:numId="4" w16cid:durableId="234124703">
    <w:abstractNumId w:val="7"/>
  </w:num>
  <w:num w:numId="5" w16cid:durableId="1719547622">
    <w:abstractNumId w:val="13"/>
  </w:num>
  <w:num w:numId="6" w16cid:durableId="620956446">
    <w:abstractNumId w:val="15"/>
  </w:num>
  <w:num w:numId="7" w16cid:durableId="1086801155">
    <w:abstractNumId w:val="16"/>
  </w:num>
  <w:num w:numId="8" w16cid:durableId="1818035782">
    <w:abstractNumId w:val="4"/>
  </w:num>
  <w:num w:numId="9" w16cid:durableId="2143888895">
    <w:abstractNumId w:val="3"/>
  </w:num>
  <w:num w:numId="10" w16cid:durableId="778178881">
    <w:abstractNumId w:val="9"/>
  </w:num>
  <w:num w:numId="11" w16cid:durableId="1703749451">
    <w:abstractNumId w:val="12"/>
  </w:num>
  <w:num w:numId="12" w16cid:durableId="71778676">
    <w:abstractNumId w:val="14"/>
  </w:num>
  <w:num w:numId="13" w16cid:durableId="1117992167">
    <w:abstractNumId w:val="11"/>
  </w:num>
  <w:num w:numId="14" w16cid:durableId="1408188093">
    <w:abstractNumId w:val="10"/>
  </w:num>
  <w:num w:numId="15" w16cid:durableId="1347168380">
    <w:abstractNumId w:val="1"/>
  </w:num>
  <w:num w:numId="16" w16cid:durableId="857235970">
    <w:abstractNumId w:val="8"/>
  </w:num>
  <w:num w:numId="17" w16cid:durableId="1349746564">
    <w:abstractNumId w:val="17"/>
  </w:num>
  <w:num w:numId="18" w16cid:durableId="1104423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F1"/>
    <w:rsid w:val="000112E5"/>
    <w:rsid w:val="00013DAA"/>
    <w:rsid w:val="00020D94"/>
    <w:rsid w:val="00026153"/>
    <w:rsid w:val="00027446"/>
    <w:rsid w:val="00027F47"/>
    <w:rsid w:val="00033604"/>
    <w:rsid w:val="000401C5"/>
    <w:rsid w:val="000450A7"/>
    <w:rsid w:val="00066A2E"/>
    <w:rsid w:val="00070ACA"/>
    <w:rsid w:val="00084A0A"/>
    <w:rsid w:val="000853C4"/>
    <w:rsid w:val="00096BF9"/>
    <w:rsid w:val="000A6132"/>
    <w:rsid w:val="000C31CE"/>
    <w:rsid w:val="000C4F0A"/>
    <w:rsid w:val="000C53FA"/>
    <w:rsid w:val="000D5728"/>
    <w:rsid w:val="000D59F7"/>
    <w:rsid w:val="000E117E"/>
    <w:rsid w:val="000F209C"/>
    <w:rsid w:val="00106A81"/>
    <w:rsid w:val="00111615"/>
    <w:rsid w:val="00111B25"/>
    <w:rsid w:val="00114B17"/>
    <w:rsid w:val="00116458"/>
    <w:rsid w:val="00117C5D"/>
    <w:rsid w:val="0013031D"/>
    <w:rsid w:val="0013079B"/>
    <w:rsid w:val="00144E28"/>
    <w:rsid w:val="0015078B"/>
    <w:rsid w:val="00164C36"/>
    <w:rsid w:val="00181F0D"/>
    <w:rsid w:val="00182AC3"/>
    <w:rsid w:val="001915D0"/>
    <w:rsid w:val="001974DA"/>
    <w:rsid w:val="001B64DD"/>
    <w:rsid w:val="001C14A6"/>
    <w:rsid w:val="001C1BFE"/>
    <w:rsid w:val="001D593B"/>
    <w:rsid w:val="001E597E"/>
    <w:rsid w:val="001F41B5"/>
    <w:rsid w:val="001F57F1"/>
    <w:rsid w:val="001F6077"/>
    <w:rsid w:val="00221500"/>
    <w:rsid w:val="00224FF3"/>
    <w:rsid w:val="00233518"/>
    <w:rsid w:val="002418C9"/>
    <w:rsid w:val="002419E9"/>
    <w:rsid w:val="00271C09"/>
    <w:rsid w:val="0027601C"/>
    <w:rsid w:val="002974AB"/>
    <w:rsid w:val="002B7BD0"/>
    <w:rsid w:val="002D4912"/>
    <w:rsid w:val="002E3767"/>
    <w:rsid w:val="002F4DB7"/>
    <w:rsid w:val="002F5322"/>
    <w:rsid w:val="00307D3C"/>
    <w:rsid w:val="00312492"/>
    <w:rsid w:val="00326C6F"/>
    <w:rsid w:val="00331C38"/>
    <w:rsid w:val="00332D1A"/>
    <w:rsid w:val="00344B2A"/>
    <w:rsid w:val="00360DCD"/>
    <w:rsid w:val="00362281"/>
    <w:rsid w:val="00365135"/>
    <w:rsid w:val="00375141"/>
    <w:rsid w:val="003766B1"/>
    <w:rsid w:val="00383D44"/>
    <w:rsid w:val="003856F4"/>
    <w:rsid w:val="00386757"/>
    <w:rsid w:val="003928FC"/>
    <w:rsid w:val="0039732A"/>
    <w:rsid w:val="003A2B91"/>
    <w:rsid w:val="003D133C"/>
    <w:rsid w:val="003D1D79"/>
    <w:rsid w:val="003E2BEB"/>
    <w:rsid w:val="003F7DAF"/>
    <w:rsid w:val="0040384C"/>
    <w:rsid w:val="004053C0"/>
    <w:rsid w:val="00411A07"/>
    <w:rsid w:val="004462FF"/>
    <w:rsid w:val="00457023"/>
    <w:rsid w:val="00472CF5"/>
    <w:rsid w:val="00475252"/>
    <w:rsid w:val="00476309"/>
    <w:rsid w:val="00481667"/>
    <w:rsid w:val="004819A9"/>
    <w:rsid w:val="00491CE8"/>
    <w:rsid w:val="00492995"/>
    <w:rsid w:val="00497808"/>
    <w:rsid w:val="004A0D01"/>
    <w:rsid w:val="004A2A48"/>
    <w:rsid w:val="004C1CBA"/>
    <w:rsid w:val="004C5B5D"/>
    <w:rsid w:val="004C75AE"/>
    <w:rsid w:val="004D3336"/>
    <w:rsid w:val="004D64F1"/>
    <w:rsid w:val="004E085B"/>
    <w:rsid w:val="004E53CE"/>
    <w:rsid w:val="004F4D09"/>
    <w:rsid w:val="00502639"/>
    <w:rsid w:val="00503480"/>
    <w:rsid w:val="005042C4"/>
    <w:rsid w:val="005047FC"/>
    <w:rsid w:val="0051674E"/>
    <w:rsid w:val="00520B8B"/>
    <w:rsid w:val="00525D8F"/>
    <w:rsid w:val="00553A89"/>
    <w:rsid w:val="005549B7"/>
    <w:rsid w:val="00557A7A"/>
    <w:rsid w:val="005649B6"/>
    <w:rsid w:val="00587294"/>
    <w:rsid w:val="005945F0"/>
    <w:rsid w:val="0059646C"/>
    <w:rsid w:val="005973C8"/>
    <w:rsid w:val="005B1016"/>
    <w:rsid w:val="005B1428"/>
    <w:rsid w:val="005D31F5"/>
    <w:rsid w:val="005D580F"/>
    <w:rsid w:val="005D5C78"/>
    <w:rsid w:val="005E21DA"/>
    <w:rsid w:val="005F4642"/>
    <w:rsid w:val="005F7CE8"/>
    <w:rsid w:val="00617F01"/>
    <w:rsid w:val="00621B09"/>
    <w:rsid w:val="00621DE2"/>
    <w:rsid w:val="00624E6B"/>
    <w:rsid w:val="00641B31"/>
    <w:rsid w:val="00642631"/>
    <w:rsid w:val="00644878"/>
    <w:rsid w:val="006612B0"/>
    <w:rsid w:val="00662462"/>
    <w:rsid w:val="00665F00"/>
    <w:rsid w:val="00673F77"/>
    <w:rsid w:val="0068217D"/>
    <w:rsid w:val="00682ACE"/>
    <w:rsid w:val="006837A9"/>
    <w:rsid w:val="00691782"/>
    <w:rsid w:val="00695233"/>
    <w:rsid w:val="006A0523"/>
    <w:rsid w:val="006A1564"/>
    <w:rsid w:val="006C4B9A"/>
    <w:rsid w:val="006D09A1"/>
    <w:rsid w:val="006D12C1"/>
    <w:rsid w:val="006D56BD"/>
    <w:rsid w:val="006E48FE"/>
    <w:rsid w:val="006F3867"/>
    <w:rsid w:val="006F7ADD"/>
    <w:rsid w:val="00714C05"/>
    <w:rsid w:val="0072175A"/>
    <w:rsid w:val="00724368"/>
    <w:rsid w:val="00743973"/>
    <w:rsid w:val="00751C69"/>
    <w:rsid w:val="007546BF"/>
    <w:rsid w:val="00762A79"/>
    <w:rsid w:val="00764CAF"/>
    <w:rsid w:val="007650F4"/>
    <w:rsid w:val="0077106C"/>
    <w:rsid w:val="007747BA"/>
    <w:rsid w:val="007816FC"/>
    <w:rsid w:val="00793D85"/>
    <w:rsid w:val="00793E5D"/>
    <w:rsid w:val="007B1429"/>
    <w:rsid w:val="007B35FF"/>
    <w:rsid w:val="007D23DA"/>
    <w:rsid w:val="007D3118"/>
    <w:rsid w:val="007D7088"/>
    <w:rsid w:val="007E7717"/>
    <w:rsid w:val="007F14E0"/>
    <w:rsid w:val="00804E35"/>
    <w:rsid w:val="0080749C"/>
    <w:rsid w:val="00813C80"/>
    <w:rsid w:val="00820043"/>
    <w:rsid w:val="00822419"/>
    <w:rsid w:val="0082259D"/>
    <w:rsid w:val="00823F55"/>
    <w:rsid w:val="00826152"/>
    <w:rsid w:val="008300AD"/>
    <w:rsid w:val="008314BE"/>
    <w:rsid w:val="00832765"/>
    <w:rsid w:val="00843189"/>
    <w:rsid w:val="00856220"/>
    <w:rsid w:val="00856E85"/>
    <w:rsid w:val="00866223"/>
    <w:rsid w:val="0087107F"/>
    <w:rsid w:val="00876368"/>
    <w:rsid w:val="008841CB"/>
    <w:rsid w:val="00892852"/>
    <w:rsid w:val="0089481A"/>
    <w:rsid w:val="008A311B"/>
    <w:rsid w:val="008A5118"/>
    <w:rsid w:val="008A72C4"/>
    <w:rsid w:val="008B41EC"/>
    <w:rsid w:val="008B49C1"/>
    <w:rsid w:val="008C11F4"/>
    <w:rsid w:val="008E5DE3"/>
    <w:rsid w:val="008F27C4"/>
    <w:rsid w:val="008F4B88"/>
    <w:rsid w:val="00900316"/>
    <w:rsid w:val="0092146D"/>
    <w:rsid w:val="00922B24"/>
    <w:rsid w:val="00925D8D"/>
    <w:rsid w:val="0093231B"/>
    <w:rsid w:val="00934D4F"/>
    <w:rsid w:val="00940228"/>
    <w:rsid w:val="009547EA"/>
    <w:rsid w:val="009552A2"/>
    <w:rsid w:val="0096025E"/>
    <w:rsid w:val="00962784"/>
    <w:rsid w:val="00963701"/>
    <w:rsid w:val="009659B1"/>
    <w:rsid w:val="00967BB9"/>
    <w:rsid w:val="00971765"/>
    <w:rsid w:val="00974083"/>
    <w:rsid w:val="00991FB2"/>
    <w:rsid w:val="00993066"/>
    <w:rsid w:val="0099755D"/>
    <w:rsid w:val="009A1166"/>
    <w:rsid w:val="009A57A9"/>
    <w:rsid w:val="009A6B7C"/>
    <w:rsid w:val="009B7D4C"/>
    <w:rsid w:val="009C3173"/>
    <w:rsid w:val="009C71D3"/>
    <w:rsid w:val="009C7396"/>
    <w:rsid w:val="009D0F3D"/>
    <w:rsid w:val="009D2BF6"/>
    <w:rsid w:val="009E1B44"/>
    <w:rsid w:val="009E1EC8"/>
    <w:rsid w:val="009E27ED"/>
    <w:rsid w:val="009F028E"/>
    <w:rsid w:val="009F5C85"/>
    <w:rsid w:val="009F724F"/>
    <w:rsid w:val="00A03DCF"/>
    <w:rsid w:val="00A04B4E"/>
    <w:rsid w:val="00A2566B"/>
    <w:rsid w:val="00A304B0"/>
    <w:rsid w:val="00A32972"/>
    <w:rsid w:val="00A34AB2"/>
    <w:rsid w:val="00A5262C"/>
    <w:rsid w:val="00A61BA9"/>
    <w:rsid w:val="00A64A43"/>
    <w:rsid w:val="00A73CA7"/>
    <w:rsid w:val="00A855B9"/>
    <w:rsid w:val="00A93E79"/>
    <w:rsid w:val="00A94694"/>
    <w:rsid w:val="00AA15DD"/>
    <w:rsid w:val="00AA3125"/>
    <w:rsid w:val="00AA3A9A"/>
    <w:rsid w:val="00AC3B1F"/>
    <w:rsid w:val="00AC5BC2"/>
    <w:rsid w:val="00AD2EE0"/>
    <w:rsid w:val="00AD53C5"/>
    <w:rsid w:val="00AD574C"/>
    <w:rsid w:val="00AD61D9"/>
    <w:rsid w:val="00AD7327"/>
    <w:rsid w:val="00AD7389"/>
    <w:rsid w:val="00AE69BF"/>
    <w:rsid w:val="00AF341F"/>
    <w:rsid w:val="00AF6F6E"/>
    <w:rsid w:val="00AF7FA6"/>
    <w:rsid w:val="00B00769"/>
    <w:rsid w:val="00B01EAB"/>
    <w:rsid w:val="00B06A49"/>
    <w:rsid w:val="00B10DE7"/>
    <w:rsid w:val="00B161F1"/>
    <w:rsid w:val="00B16CEE"/>
    <w:rsid w:val="00B31373"/>
    <w:rsid w:val="00B40B36"/>
    <w:rsid w:val="00B41A43"/>
    <w:rsid w:val="00B517D2"/>
    <w:rsid w:val="00B54B1A"/>
    <w:rsid w:val="00B57B31"/>
    <w:rsid w:val="00B57EAA"/>
    <w:rsid w:val="00B61489"/>
    <w:rsid w:val="00B618A5"/>
    <w:rsid w:val="00B64637"/>
    <w:rsid w:val="00B667BD"/>
    <w:rsid w:val="00B75DE4"/>
    <w:rsid w:val="00B92749"/>
    <w:rsid w:val="00B95C13"/>
    <w:rsid w:val="00BA622E"/>
    <w:rsid w:val="00BB524F"/>
    <w:rsid w:val="00BB7629"/>
    <w:rsid w:val="00BC5DAF"/>
    <w:rsid w:val="00BC743A"/>
    <w:rsid w:val="00BD685B"/>
    <w:rsid w:val="00BE03AB"/>
    <w:rsid w:val="00BF668C"/>
    <w:rsid w:val="00C01C4F"/>
    <w:rsid w:val="00C052FA"/>
    <w:rsid w:val="00C127BF"/>
    <w:rsid w:val="00C16C1A"/>
    <w:rsid w:val="00C262E0"/>
    <w:rsid w:val="00C30BF7"/>
    <w:rsid w:val="00C32E25"/>
    <w:rsid w:val="00C330A9"/>
    <w:rsid w:val="00C34FD6"/>
    <w:rsid w:val="00C457E5"/>
    <w:rsid w:val="00C52A70"/>
    <w:rsid w:val="00C62145"/>
    <w:rsid w:val="00C67803"/>
    <w:rsid w:val="00C75573"/>
    <w:rsid w:val="00C75E42"/>
    <w:rsid w:val="00C811CB"/>
    <w:rsid w:val="00C83AC4"/>
    <w:rsid w:val="00C84F64"/>
    <w:rsid w:val="00C853A7"/>
    <w:rsid w:val="00CA5608"/>
    <w:rsid w:val="00CA7668"/>
    <w:rsid w:val="00CB0D0F"/>
    <w:rsid w:val="00CB3BAE"/>
    <w:rsid w:val="00CB77D5"/>
    <w:rsid w:val="00CC4A64"/>
    <w:rsid w:val="00CC545A"/>
    <w:rsid w:val="00CD6EB2"/>
    <w:rsid w:val="00CE096D"/>
    <w:rsid w:val="00CE489A"/>
    <w:rsid w:val="00CF2566"/>
    <w:rsid w:val="00CF2896"/>
    <w:rsid w:val="00CF2A03"/>
    <w:rsid w:val="00D017AD"/>
    <w:rsid w:val="00D01A19"/>
    <w:rsid w:val="00D1581F"/>
    <w:rsid w:val="00D16012"/>
    <w:rsid w:val="00D36ADE"/>
    <w:rsid w:val="00D40C5D"/>
    <w:rsid w:val="00D462B6"/>
    <w:rsid w:val="00D53C16"/>
    <w:rsid w:val="00D76BC9"/>
    <w:rsid w:val="00D80A35"/>
    <w:rsid w:val="00D83375"/>
    <w:rsid w:val="00D928BC"/>
    <w:rsid w:val="00D955F5"/>
    <w:rsid w:val="00DA1257"/>
    <w:rsid w:val="00DA2E3D"/>
    <w:rsid w:val="00DA7B11"/>
    <w:rsid w:val="00DC0120"/>
    <w:rsid w:val="00DC0FF9"/>
    <w:rsid w:val="00DD4D1C"/>
    <w:rsid w:val="00DD4F1E"/>
    <w:rsid w:val="00DF1C5A"/>
    <w:rsid w:val="00DF1CEB"/>
    <w:rsid w:val="00DF350D"/>
    <w:rsid w:val="00E07A70"/>
    <w:rsid w:val="00E17C0D"/>
    <w:rsid w:val="00E3675F"/>
    <w:rsid w:val="00E36F84"/>
    <w:rsid w:val="00E51D43"/>
    <w:rsid w:val="00E5654D"/>
    <w:rsid w:val="00E62931"/>
    <w:rsid w:val="00E63F6F"/>
    <w:rsid w:val="00E64D49"/>
    <w:rsid w:val="00E77181"/>
    <w:rsid w:val="00E85697"/>
    <w:rsid w:val="00E91F31"/>
    <w:rsid w:val="00EA23C7"/>
    <w:rsid w:val="00EA35B8"/>
    <w:rsid w:val="00EA608D"/>
    <w:rsid w:val="00EA627C"/>
    <w:rsid w:val="00EA6C9A"/>
    <w:rsid w:val="00EC6818"/>
    <w:rsid w:val="00EE2F15"/>
    <w:rsid w:val="00EE38C9"/>
    <w:rsid w:val="00EE569E"/>
    <w:rsid w:val="00EF1762"/>
    <w:rsid w:val="00F00B1B"/>
    <w:rsid w:val="00F027F8"/>
    <w:rsid w:val="00F06352"/>
    <w:rsid w:val="00F06624"/>
    <w:rsid w:val="00F17B58"/>
    <w:rsid w:val="00F22208"/>
    <w:rsid w:val="00F22A58"/>
    <w:rsid w:val="00F24045"/>
    <w:rsid w:val="00F30140"/>
    <w:rsid w:val="00F433BE"/>
    <w:rsid w:val="00F45B85"/>
    <w:rsid w:val="00F50B9B"/>
    <w:rsid w:val="00F56A28"/>
    <w:rsid w:val="00F6375F"/>
    <w:rsid w:val="00F67F9C"/>
    <w:rsid w:val="00F70AF1"/>
    <w:rsid w:val="00F97874"/>
    <w:rsid w:val="00FA0C86"/>
    <w:rsid w:val="00FA203D"/>
    <w:rsid w:val="00FA7311"/>
    <w:rsid w:val="00FB3E56"/>
    <w:rsid w:val="00FB61F9"/>
    <w:rsid w:val="00FC07BC"/>
    <w:rsid w:val="00FC1198"/>
    <w:rsid w:val="00FC6F0C"/>
    <w:rsid w:val="00FD1DDD"/>
    <w:rsid w:val="00FD4871"/>
    <w:rsid w:val="00FD551B"/>
    <w:rsid w:val="00FD5C9C"/>
    <w:rsid w:val="00FD635E"/>
    <w:rsid w:val="00FF2D2F"/>
    <w:rsid w:val="00FF371F"/>
    <w:rsid w:val="00FF3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D583"/>
  <w15:chartTrackingRefBased/>
  <w15:docId w15:val="{B4705387-DA1B-4FA6-BF99-2ADD9626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0D"/>
    <w:pPr>
      <w:ind w:left="720"/>
      <w:contextualSpacing/>
    </w:pPr>
  </w:style>
  <w:style w:type="character" w:styleId="Hyperlink">
    <w:name w:val="Hyperlink"/>
    <w:basedOn w:val="DefaultParagraphFont"/>
    <w:uiPriority w:val="99"/>
    <w:unhideWhenUsed/>
    <w:rsid w:val="0077106C"/>
    <w:rPr>
      <w:color w:val="0563C1" w:themeColor="hyperlink"/>
      <w:u w:val="single"/>
    </w:rPr>
  </w:style>
  <w:style w:type="paragraph" w:styleId="NormalWeb">
    <w:name w:val="Normal (Web)"/>
    <w:basedOn w:val="Normal"/>
    <w:uiPriority w:val="99"/>
    <w:unhideWhenUsed/>
    <w:rsid w:val="004E53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1">
    <w:name w:val="Standaard1"/>
    <w:basedOn w:val="Normal"/>
    <w:rsid w:val="005026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2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FC"/>
    <w:rPr>
      <w:lang w:val="nl-NL"/>
    </w:rPr>
  </w:style>
  <w:style w:type="paragraph" w:styleId="Footer">
    <w:name w:val="footer"/>
    <w:basedOn w:val="Normal"/>
    <w:link w:val="FooterChar"/>
    <w:uiPriority w:val="99"/>
    <w:unhideWhenUsed/>
    <w:rsid w:val="00392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FC"/>
    <w:rPr>
      <w:lang w:val="nl-NL"/>
    </w:rPr>
  </w:style>
  <w:style w:type="paragraph" w:styleId="Revision">
    <w:name w:val="Revision"/>
    <w:hidden/>
    <w:uiPriority w:val="99"/>
    <w:semiHidden/>
    <w:rsid w:val="00843189"/>
    <w:pPr>
      <w:spacing w:after="0" w:line="240" w:lineRule="auto"/>
    </w:pPr>
  </w:style>
  <w:style w:type="character" w:styleId="CommentReference">
    <w:name w:val="annotation reference"/>
    <w:basedOn w:val="DefaultParagraphFont"/>
    <w:uiPriority w:val="99"/>
    <w:semiHidden/>
    <w:unhideWhenUsed/>
    <w:rsid w:val="00843189"/>
    <w:rPr>
      <w:sz w:val="16"/>
      <w:szCs w:val="16"/>
    </w:rPr>
  </w:style>
  <w:style w:type="paragraph" w:styleId="CommentText">
    <w:name w:val="annotation text"/>
    <w:basedOn w:val="Normal"/>
    <w:link w:val="CommentTextChar"/>
    <w:uiPriority w:val="99"/>
    <w:unhideWhenUsed/>
    <w:rsid w:val="00843189"/>
    <w:pPr>
      <w:spacing w:line="240" w:lineRule="auto"/>
    </w:pPr>
    <w:rPr>
      <w:sz w:val="20"/>
      <w:szCs w:val="20"/>
    </w:rPr>
  </w:style>
  <w:style w:type="character" w:customStyle="1" w:styleId="CommentTextChar">
    <w:name w:val="Comment Text Char"/>
    <w:basedOn w:val="DefaultParagraphFont"/>
    <w:link w:val="CommentText"/>
    <w:uiPriority w:val="99"/>
    <w:rsid w:val="00843189"/>
    <w:rPr>
      <w:sz w:val="20"/>
      <w:szCs w:val="20"/>
      <w:lang w:val="nl-NL"/>
    </w:rPr>
  </w:style>
  <w:style w:type="paragraph" w:styleId="CommentSubject">
    <w:name w:val="annotation subject"/>
    <w:basedOn w:val="CommentText"/>
    <w:next w:val="CommentText"/>
    <w:link w:val="CommentSubjectChar"/>
    <w:uiPriority w:val="99"/>
    <w:semiHidden/>
    <w:unhideWhenUsed/>
    <w:rsid w:val="00843189"/>
    <w:rPr>
      <w:b/>
      <w:bCs/>
    </w:rPr>
  </w:style>
  <w:style w:type="character" w:customStyle="1" w:styleId="CommentSubjectChar">
    <w:name w:val="Comment Subject Char"/>
    <w:basedOn w:val="CommentTextChar"/>
    <w:link w:val="CommentSubject"/>
    <w:uiPriority w:val="99"/>
    <w:semiHidden/>
    <w:rsid w:val="00843189"/>
    <w:rPr>
      <w:b/>
      <w:bCs/>
      <w:sz w:val="20"/>
      <w:szCs w:val="20"/>
      <w:lang w:val="nl-NL"/>
    </w:rPr>
  </w:style>
  <w:style w:type="paragraph" w:styleId="BalloonText">
    <w:name w:val="Balloon Text"/>
    <w:basedOn w:val="Normal"/>
    <w:link w:val="BalloonTextChar"/>
    <w:uiPriority w:val="99"/>
    <w:semiHidden/>
    <w:unhideWhenUsed/>
    <w:rsid w:val="0031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92"/>
    <w:rPr>
      <w:rFonts w:ascii="Segoe UI" w:hAnsi="Segoe UI" w:cs="Segoe UI"/>
      <w:sz w:val="18"/>
      <w:szCs w:val="18"/>
      <w:lang w:val="nl-NL"/>
    </w:rPr>
  </w:style>
  <w:style w:type="character" w:styleId="UnresolvedMention">
    <w:name w:val="Unresolved Mention"/>
    <w:basedOn w:val="DefaultParagraphFont"/>
    <w:uiPriority w:val="99"/>
    <w:semiHidden/>
    <w:unhideWhenUsed/>
    <w:rsid w:val="009B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6146">
      <w:bodyDiv w:val="1"/>
      <w:marLeft w:val="0"/>
      <w:marRight w:val="0"/>
      <w:marTop w:val="0"/>
      <w:marBottom w:val="0"/>
      <w:divBdr>
        <w:top w:val="none" w:sz="0" w:space="0" w:color="auto"/>
        <w:left w:val="none" w:sz="0" w:space="0" w:color="auto"/>
        <w:bottom w:val="none" w:sz="0" w:space="0" w:color="auto"/>
        <w:right w:val="none" w:sz="0" w:space="0" w:color="auto"/>
      </w:divBdr>
    </w:div>
    <w:div w:id="883711814">
      <w:bodyDiv w:val="1"/>
      <w:marLeft w:val="0"/>
      <w:marRight w:val="0"/>
      <w:marTop w:val="0"/>
      <w:marBottom w:val="0"/>
      <w:divBdr>
        <w:top w:val="none" w:sz="0" w:space="0" w:color="auto"/>
        <w:left w:val="none" w:sz="0" w:space="0" w:color="auto"/>
        <w:bottom w:val="none" w:sz="0" w:space="0" w:color="auto"/>
        <w:right w:val="none" w:sz="0" w:space="0" w:color="auto"/>
      </w:divBdr>
    </w:div>
    <w:div w:id="1679237725">
      <w:bodyDiv w:val="1"/>
      <w:marLeft w:val="0"/>
      <w:marRight w:val="0"/>
      <w:marTop w:val="0"/>
      <w:marBottom w:val="0"/>
      <w:divBdr>
        <w:top w:val="none" w:sz="0" w:space="0" w:color="auto"/>
        <w:left w:val="none" w:sz="0" w:space="0" w:color="auto"/>
        <w:bottom w:val="none" w:sz="0" w:space="0" w:color="auto"/>
        <w:right w:val="none" w:sz="0" w:space="0" w:color="auto"/>
      </w:divBdr>
    </w:div>
    <w:div w:id="1684165662">
      <w:bodyDiv w:val="1"/>
      <w:marLeft w:val="0"/>
      <w:marRight w:val="0"/>
      <w:marTop w:val="0"/>
      <w:marBottom w:val="0"/>
      <w:divBdr>
        <w:top w:val="none" w:sz="0" w:space="0" w:color="auto"/>
        <w:left w:val="none" w:sz="0" w:space="0" w:color="auto"/>
        <w:bottom w:val="none" w:sz="0" w:space="0" w:color="auto"/>
        <w:right w:val="none" w:sz="0" w:space="0" w:color="auto"/>
      </w:divBdr>
    </w:div>
    <w:div w:id="20757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ga.com/nl/en_gb/institutional/ic/capabilities/esg/asset-stewardship/asset-stewardship-report-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visum.nl/downloa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isum.nl/downloads/" TargetMode="External"/><Relationship Id="rId5" Type="http://schemas.openxmlformats.org/officeDocument/2006/relationships/styles" Target="styles.xml"/><Relationship Id="rId15" Type="http://schemas.openxmlformats.org/officeDocument/2006/relationships/hyperlink" Target="https://provisum.nl/download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visum.nl/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7E729AD683740B2D6F2FEAF0DB902" ma:contentTypeVersion="18" ma:contentTypeDescription="Create a new document." ma:contentTypeScope="" ma:versionID="82cdd9036c768d585efd5dbe97c0a29e">
  <xsd:schema xmlns:xsd="http://www.w3.org/2001/XMLSchema" xmlns:xs="http://www.w3.org/2001/XMLSchema" xmlns:p="http://schemas.microsoft.com/office/2006/metadata/properties" xmlns:ns2="30025838-b877-45f6-8fdf-94975b4485a8" xmlns:ns3="849af6b6-6b26-4697-8711-ee53d942f136" targetNamespace="http://schemas.microsoft.com/office/2006/metadata/properties" ma:root="true" ma:fieldsID="a552cd2624a543c369b1e3a7c4a10926" ns2:_="" ns3:_="">
    <xsd:import namespace="30025838-b877-45f6-8fdf-94975b4485a8"/>
    <xsd:import namespace="849af6b6-6b26-4697-8711-ee53d942f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25838-b877-45f6-8fdf-94975b448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499525-b17a-43ba-9418-43de9bc72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f6b6-6b26-4697-8711-ee53d942f1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1f3d0ab-9826-43a4-bb26-8badd7a6ae94}" ma:internalName="TaxCatchAll" ma:showField="CatchAllData" ma:web="849af6b6-6b26-4697-8711-ee53d942f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9af6b6-6b26-4697-8711-ee53d942f136" xsi:nil="true"/>
    <lcf76f155ced4ddcb4097134ff3c332f xmlns="30025838-b877-45f6-8fdf-94975b448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8468FF-6432-4990-AE4F-6B3A83022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25838-b877-45f6-8fdf-94975b4485a8"/>
    <ds:schemaRef ds:uri="849af6b6-6b26-4697-8711-ee53d942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C0D6A-8CBD-4924-953D-0115C05432D1}">
  <ds:schemaRefs>
    <ds:schemaRef ds:uri="http://schemas.openxmlformats.org/officeDocument/2006/bibliography"/>
  </ds:schemaRefs>
</ds:datastoreItem>
</file>

<file path=customXml/itemProps3.xml><?xml version="1.0" encoding="utf-8"?>
<ds:datastoreItem xmlns:ds="http://schemas.openxmlformats.org/officeDocument/2006/customXml" ds:itemID="{87BEB6BC-6871-4B79-8798-16A330795CE7}">
  <ds:schemaRefs>
    <ds:schemaRef ds:uri="http://schemas.microsoft.com/sharepoint/v3/contenttype/forms"/>
  </ds:schemaRefs>
</ds:datastoreItem>
</file>

<file path=customXml/itemProps4.xml><?xml version="1.0" encoding="utf-8"?>
<ds:datastoreItem xmlns:ds="http://schemas.openxmlformats.org/officeDocument/2006/customXml" ds:itemID="{EA5F427E-BA82-493C-8181-16EDC15182DD}"/>
</file>

<file path=docMetadata/LabelInfo.xml><?xml version="1.0" encoding="utf-8"?>
<clbl:labelList xmlns:clbl="http://schemas.microsoft.com/office/2020/mipLabelMetadata">
  <clbl:label id="{f50c4e07-7e41-4a5d-9cb0-de6e757075c3}" enabled="0" method="" siteId="{f50c4e07-7e41-4a5d-9cb0-de6e757075c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15430</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Gert-Jan</dc:creator>
  <cp:keywords/>
  <dc:description/>
  <cp:lastModifiedBy>Natascha Endema</cp:lastModifiedBy>
  <cp:revision>23</cp:revision>
  <dcterms:created xsi:type="dcterms:W3CDTF">2022-11-22T14:51:00Z</dcterms:created>
  <dcterms:modified xsi:type="dcterms:W3CDTF">2023-01-13T08:58:00Z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0x010100DE97E729AD683740B2D6F2FEAF0DB902</vt:lpwstr>
  </property>
  <property fmtid="{D5CDD505-2E9C-101B-9397-08002B2CF9AE}" pid="3" name="MediaServiceImageTags">
    <vt:lpwstr/>
  </property>
</Properties>
</file>